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A409" w14:textId="01E3B856" w:rsidR="008406B6" w:rsidRPr="006703B9" w:rsidRDefault="00183C40" w:rsidP="008406B6">
      <w:pPr>
        <w:jc w:val="center"/>
        <w:rPr>
          <w:rFonts w:cs="Arial"/>
          <w:b/>
          <w:u w:val="single"/>
        </w:rPr>
      </w:pPr>
      <w:r>
        <w:rPr>
          <w:rFonts w:cs="Arial"/>
          <w:b/>
          <w:color w:val="000000" w:themeColor="text1"/>
          <w:u w:val="single"/>
        </w:rPr>
        <w:t xml:space="preserve">Humber and North Yorkshire ICB </w:t>
      </w:r>
      <w:r w:rsidR="008406B6" w:rsidRPr="006703B9">
        <w:rPr>
          <w:rFonts w:cs="Arial"/>
          <w:b/>
          <w:color w:val="000000" w:themeColor="text1"/>
          <w:u w:val="single"/>
        </w:rPr>
        <w:t xml:space="preserve">GP </w:t>
      </w:r>
      <w:r w:rsidR="008406B6" w:rsidRPr="00D90D30">
        <w:rPr>
          <w:rFonts w:cs="Arial"/>
          <w:b/>
          <w:u w:val="single"/>
        </w:rPr>
        <w:t>S</w:t>
      </w:r>
      <w:r>
        <w:rPr>
          <w:rFonts w:cs="Arial"/>
          <w:b/>
          <w:u w:val="single"/>
        </w:rPr>
        <w:t xml:space="preserve">afeguarding Standards for Adults and Children </w:t>
      </w:r>
    </w:p>
    <w:p w14:paraId="51F1B835" w14:textId="7E4CF689" w:rsidR="00927895" w:rsidRDefault="007137C6" w:rsidP="00927895">
      <w:pPr>
        <w:rPr>
          <w:bCs/>
          <w:color w:val="000000" w:themeColor="text1"/>
          <w:sz w:val="22"/>
        </w:rPr>
      </w:pPr>
      <w:r>
        <w:rPr>
          <w:i/>
          <w:iCs/>
          <w:szCs w:val="24"/>
        </w:rPr>
        <w:t>'</w:t>
      </w:r>
      <w:r w:rsidRPr="007455DE">
        <w:rPr>
          <w:rFonts w:cs="Arial"/>
          <w:i/>
          <w:iCs/>
          <w:color w:val="000000" w:themeColor="text1"/>
          <w:sz w:val="22"/>
        </w:rPr>
        <w:t>All healthcare staff must be competent to recognise abuse, clearly understand their responsibilities and take effective action appropriate to their role. GPs and managers have a responsibility to ensure that all practice staff have the knowledge and skills to be able to meet this requirement</w:t>
      </w:r>
      <w:r>
        <w:rPr>
          <w:rFonts w:cs="Arial"/>
          <w:i/>
          <w:iCs/>
          <w:color w:val="000000" w:themeColor="text1"/>
          <w:sz w:val="22"/>
        </w:rPr>
        <w:t xml:space="preserve">' </w:t>
      </w:r>
      <w:hyperlink r:id="rId8" w:history="1">
        <w:r w:rsidRPr="007137C6">
          <w:rPr>
            <w:rStyle w:val="Hyperlink"/>
            <w:rFonts w:cs="Arial"/>
            <w:sz w:val="22"/>
          </w:rPr>
          <w:t>CQC (2022)</w:t>
        </w:r>
      </w:hyperlink>
    </w:p>
    <w:p w14:paraId="10D933EA" w14:textId="0A4DF7B0" w:rsidR="008406B6" w:rsidRPr="006703B9" w:rsidRDefault="008406B6" w:rsidP="00AE6181">
      <w:pPr>
        <w:rPr>
          <w:rFonts w:cs="Arial"/>
          <w:color w:val="000000" w:themeColor="text1"/>
          <w:sz w:val="22"/>
        </w:rPr>
      </w:pPr>
      <w:r w:rsidRPr="006703B9">
        <w:rPr>
          <w:bCs/>
          <w:color w:val="000000" w:themeColor="text1"/>
          <w:sz w:val="22"/>
        </w:rPr>
        <w:t xml:space="preserve">The self - assessment tool </w:t>
      </w:r>
      <w:r w:rsidR="003836CE">
        <w:rPr>
          <w:bCs/>
          <w:color w:val="000000" w:themeColor="text1"/>
          <w:sz w:val="22"/>
        </w:rPr>
        <w:t xml:space="preserve">enables practices to </w:t>
      </w:r>
      <w:r w:rsidRPr="006703B9">
        <w:rPr>
          <w:bCs/>
          <w:color w:val="000000" w:themeColor="text1"/>
          <w:sz w:val="22"/>
        </w:rPr>
        <w:t xml:space="preserve">assure </w:t>
      </w:r>
      <w:r w:rsidR="002365EE">
        <w:rPr>
          <w:bCs/>
          <w:color w:val="000000" w:themeColor="text1"/>
          <w:sz w:val="22"/>
        </w:rPr>
        <w:t>themselves</w:t>
      </w:r>
      <w:r w:rsidRPr="006703B9">
        <w:rPr>
          <w:bCs/>
          <w:color w:val="000000" w:themeColor="text1"/>
          <w:sz w:val="22"/>
        </w:rPr>
        <w:t xml:space="preserve"> of safeguarding practice</w:t>
      </w:r>
      <w:r w:rsidR="002365EE">
        <w:rPr>
          <w:bCs/>
          <w:color w:val="000000" w:themeColor="text1"/>
          <w:sz w:val="22"/>
        </w:rPr>
        <w:t>s</w:t>
      </w:r>
      <w:r w:rsidRPr="006703B9">
        <w:rPr>
          <w:bCs/>
          <w:color w:val="000000" w:themeColor="text1"/>
          <w:sz w:val="22"/>
        </w:rPr>
        <w:t xml:space="preserve"> and governance within the</w:t>
      </w:r>
      <w:r w:rsidR="002365EE">
        <w:rPr>
          <w:bCs/>
          <w:color w:val="000000" w:themeColor="text1"/>
          <w:sz w:val="22"/>
        </w:rPr>
        <w:t>ir</w:t>
      </w:r>
      <w:r w:rsidRPr="006703B9">
        <w:rPr>
          <w:bCs/>
          <w:color w:val="000000" w:themeColor="text1"/>
          <w:sz w:val="22"/>
        </w:rPr>
        <w:t xml:space="preserve"> organisation, to identify any gaps or areas of improvement and </w:t>
      </w:r>
      <w:r w:rsidR="002365EE">
        <w:rPr>
          <w:bCs/>
          <w:color w:val="000000" w:themeColor="text1"/>
          <w:sz w:val="22"/>
        </w:rPr>
        <w:t>provides an opportunity to put action plans in place if needed.</w:t>
      </w:r>
      <w:r w:rsidRPr="006703B9">
        <w:rPr>
          <w:bCs/>
          <w:color w:val="000000" w:themeColor="text1"/>
          <w:sz w:val="22"/>
        </w:rPr>
        <w:t xml:space="preserve"> </w:t>
      </w:r>
      <w:r w:rsidRPr="006703B9">
        <w:rPr>
          <w:rFonts w:cs="Arial"/>
          <w:color w:val="000000" w:themeColor="text1"/>
          <w:sz w:val="22"/>
        </w:rPr>
        <w:t>The tool identifies key domains</w:t>
      </w:r>
      <w:r w:rsidR="00FA679E">
        <w:rPr>
          <w:rFonts w:cs="Arial"/>
          <w:color w:val="000000" w:themeColor="text1"/>
          <w:sz w:val="22"/>
        </w:rPr>
        <w:t xml:space="preserve"> applicable to GP </w:t>
      </w:r>
      <w:r w:rsidR="008C581A">
        <w:rPr>
          <w:rFonts w:cs="Arial"/>
          <w:color w:val="000000" w:themeColor="text1"/>
          <w:sz w:val="22"/>
        </w:rPr>
        <w:t>Practices</w:t>
      </w:r>
      <w:r w:rsidR="008C581A" w:rsidRPr="006703B9">
        <w:rPr>
          <w:rFonts w:cs="Arial"/>
          <w:color w:val="000000" w:themeColor="text1"/>
          <w:sz w:val="22"/>
        </w:rPr>
        <w:t>: -</w:t>
      </w:r>
    </w:p>
    <w:p w14:paraId="77A93FCB" w14:textId="77777777" w:rsidR="008406B6" w:rsidRPr="00183C40" w:rsidRDefault="00BF30BE" w:rsidP="00AE6181">
      <w:pPr>
        <w:pStyle w:val="ListParagraph"/>
        <w:numPr>
          <w:ilvl w:val="0"/>
          <w:numId w:val="20"/>
        </w:numPr>
        <w:autoSpaceDE w:val="0"/>
        <w:autoSpaceDN w:val="0"/>
        <w:adjustRightInd w:val="0"/>
        <w:spacing w:after="60" w:line="240" w:lineRule="auto"/>
        <w:ind w:left="709" w:hanging="283"/>
        <w:contextualSpacing w:val="0"/>
        <w:rPr>
          <w:rFonts w:cs="Arial"/>
          <w:color w:val="000000" w:themeColor="text1"/>
          <w:sz w:val="22"/>
        </w:rPr>
      </w:pPr>
      <w:r w:rsidRPr="00183C40">
        <w:rPr>
          <w:rFonts w:cs="Arial"/>
          <w:sz w:val="22"/>
        </w:rPr>
        <w:t>Safeguarding Leadership within the Practice</w:t>
      </w:r>
    </w:p>
    <w:p w14:paraId="330139E5" w14:textId="77777777" w:rsidR="00BF30BE" w:rsidRPr="00183C40" w:rsidRDefault="00BF30BE" w:rsidP="00BF30BE">
      <w:pPr>
        <w:pStyle w:val="ListParagraph"/>
        <w:numPr>
          <w:ilvl w:val="0"/>
          <w:numId w:val="20"/>
        </w:numPr>
        <w:autoSpaceDE w:val="0"/>
        <w:autoSpaceDN w:val="0"/>
        <w:adjustRightInd w:val="0"/>
        <w:spacing w:after="60" w:line="240" w:lineRule="auto"/>
        <w:ind w:left="714" w:hanging="357"/>
        <w:contextualSpacing w:val="0"/>
        <w:rPr>
          <w:rFonts w:cs="Arial"/>
          <w:color w:val="000000" w:themeColor="text1"/>
          <w:sz w:val="22"/>
        </w:rPr>
      </w:pPr>
      <w:r w:rsidRPr="00183C40">
        <w:rPr>
          <w:rFonts w:cs="Arial"/>
          <w:bCs/>
          <w:color w:val="000000" w:themeColor="text1"/>
          <w:sz w:val="22"/>
        </w:rPr>
        <w:t>Learning and Training</w:t>
      </w:r>
    </w:p>
    <w:p w14:paraId="5116D670" w14:textId="77777777" w:rsidR="00BF30BE" w:rsidRPr="00183C40" w:rsidRDefault="00BF30BE" w:rsidP="00BF30BE">
      <w:pPr>
        <w:pStyle w:val="ListParagraph"/>
        <w:numPr>
          <w:ilvl w:val="0"/>
          <w:numId w:val="20"/>
        </w:numPr>
        <w:autoSpaceDE w:val="0"/>
        <w:autoSpaceDN w:val="0"/>
        <w:adjustRightInd w:val="0"/>
        <w:spacing w:after="60" w:line="240" w:lineRule="auto"/>
        <w:ind w:left="714" w:hanging="357"/>
        <w:contextualSpacing w:val="0"/>
        <w:rPr>
          <w:rFonts w:cs="Arial"/>
          <w:color w:val="000000" w:themeColor="text1"/>
          <w:sz w:val="22"/>
        </w:rPr>
      </w:pPr>
      <w:r w:rsidRPr="00183C40">
        <w:rPr>
          <w:rFonts w:cs="Arial"/>
          <w:sz w:val="22"/>
        </w:rPr>
        <w:t>Policies, Procedures, Systems and Governance processes</w:t>
      </w:r>
    </w:p>
    <w:p w14:paraId="742D7521" w14:textId="77777777" w:rsidR="00BF30BE" w:rsidRPr="00183C40" w:rsidRDefault="007E6EAD" w:rsidP="00BF30BE">
      <w:pPr>
        <w:pStyle w:val="ListParagraph"/>
        <w:numPr>
          <w:ilvl w:val="0"/>
          <w:numId w:val="20"/>
        </w:numPr>
        <w:autoSpaceDE w:val="0"/>
        <w:autoSpaceDN w:val="0"/>
        <w:adjustRightInd w:val="0"/>
        <w:spacing w:after="60" w:line="240" w:lineRule="auto"/>
        <w:ind w:left="714" w:hanging="357"/>
        <w:contextualSpacing w:val="0"/>
        <w:rPr>
          <w:rFonts w:cs="Arial"/>
          <w:color w:val="000000" w:themeColor="text1"/>
          <w:sz w:val="22"/>
        </w:rPr>
      </w:pPr>
      <w:r w:rsidRPr="00183C40">
        <w:rPr>
          <w:rFonts w:cs="Arial"/>
          <w:sz w:val="22"/>
        </w:rPr>
        <w:t>Safe Record keeping</w:t>
      </w:r>
    </w:p>
    <w:p w14:paraId="0EF36927" w14:textId="77777777" w:rsidR="007E6EAD" w:rsidRPr="00183C40" w:rsidRDefault="007E6EAD" w:rsidP="00BF30BE">
      <w:pPr>
        <w:pStyle w:val="ListParagraph"/>
        <w:numPr>
          <w:ilvl w:val="0"/>
          <w:numId w:val="20"/>
        </w:numPr>
        <w:autoSpaceDE w:val="0"/>
        <w:autoSpaceDN w:val="0"/>
        <w:adjustRightInd w:val="0"/>
        <w:spacing w:after="60" w:line="240" w:lineRule="auto"/>
        <w:ind w:left="714" w:hanging="357"/>
        <w:contextualSpacing w:val="0"/>
        <w:rPr>
          <w:rFonts w:cs="Arial"/>
          <w:color w:val="000000" w:themeColor="text1"/>
          <w:sz w:val="22"/>
        </w:rPr>
      </w:pPr>
      <w:r w:rsidRPr="00183C40">
        <w:rPr>
          <w:rFonts w:cs="Arial"/>
          <w:sz w:val="22"/>
        </w:rPr>
        <w:t>Information Sharing and Removal of Children and Adults at Risk from a GP list</w:t>
      </w:r>
    </w:p>
    <w:p w14:paraId="06D56A4A" w14:textId="45202038" w:rsidR="009973FE" w:rsidRPr="009973FE" w:rsidRDefault="007E6EAD" w:rsidP="009973FE">
      <w:pPr>
        <w:pStyle w:val="ListParagraph"/>
        <w:numPr>
          <w:ilvl w:val="0"/>
          <w:numId w:val="20"/>
        </w:numPr>
        <w:autoSpaceDE w:val="0"/>
        <w:autoSpaceDN w:val="0"/>
        <w:adjustRightInd w:val="0"/>
        <w:spacing w:after="60" w:line="240" w:lineRule="auto"/>
        <w:ind w:left="714" w:hanging="357"/>
        <w:contextualSpacing w:val="0"/>
        <w:rPr>
          <w:rFonts w:cs="Arial"/>
          <w:color w:val="000000" w:themeColor="text1"/>
          <w:sz w:val="22"/>
        </w:rPr>
      </w:pPr>
      <w:r w:rsidRPr="00183C40">
        <w:rPr>
          <w:rFonts w:cs="Arial"/>
          <w:sz w:val="22"/>
        </w:rPr>
        <w:t>Staff Recruitment</w:t>
      </w:r>
    </w:p>
    <w:p w14:paraId="7568934C" w14:textId="77777777" w:rsidR="009973FE" w:rsidRDefault="009973FE" w:rsidP="008406B6">
      <w:pPr>
        <w:autoSpaceDE w:val="0"/>
        <w:autoSpaceDN w:val="0"/>
        <w:adjustRightInd w:val="0"/>
        <w:spacing w:after="0" w:line="240" w:lineRule="auto"/>
        <w:rPr>
          <w:rFonts w:cs="Arial"/>
          <w:sz w:val="22"/>
        </w:rPr>
      </w:pPr>
    </w:p>
    <w:p w14:paraId="44A43247" w14:textId="7C80D497" w:rsidR="008406B6" w:rsidRPr="00BE5419" w:rsidRDefault="008406B6" w:rsidP="008406B6">
      <w:pPr>
        <w:autoSpaceDE w:val="0"/>
        <w:autoSpaceDN w:val="0"/>
        <w:adjustRightInd w:val="0"/>
        <w:spacing w:after="0" w:line="240" w:lineRule="auto"/>
        <w:rPr>
          <w:rFonts w:cs="Arial"/>
          <w:sz w:val="22"/>
        </w:rPr>
      </w:pPr>
      <w:r w:rsidRPr="00BE5419">
        <w:rPr>
          <w:rFonts w:cs="Arial"/>
          <w:sz w:val="22"/>
        </w:rPr>
        <w:t>Under each domain the document:</w:t>
      </w:r>
    </w:p>
    <w:p w14:paraId="6A29A588" w14:textId="6C23D082" w:rsidR="008406B6" w:rsidRPr="00BE5419" w:rsidRDefault="008406B6" w:rsidP="008406B6">
      <w:pPr>
        <w:pStyle w:val="ListParagraph"/>
        <w:numPr>
          <w:ilvl w:val="0"/>
          <w:numId w:val="19"/>
        </w:numPr>
        <w:autoSpaceDE w:val="0"/>
        <w:autoSpaceDN w:val="0"/>
        <w:adjustRightInd w:val="0"/>
        <w:spacing w:after="60" w:line="240" w:lineRule="auto"/>
        <w:ind w:left="714" w:hanging="357"/>
        <w:contextualSpacing w:val="0"/>
        <w:rPr>
          <w:rFonts w:cs="Arial"/>
          <w:sz w:val="22"/>
        </w:rPr>
      </w:pPr>
      <w:r w:rsidRPr="00BE5419">
        <w:rPr>
          <w:rFonts w:cs="Arial"/>
          <w:sz w:val="22"/>
        </w:rPr>
        <w:t xml:space="preserve">Identifies overarching minimum key standards  </w:t>
      </w:r>
    </w:p>
    <w:p w14:paraId="5AC04725" w14:textId="032CAF3C" w:rsidR="008406B6" w:rsidRPr="00BE5419" w:rsidRDefault="008406B6" w:rsidP="008406B6">
      <w:pPr>
        <w:pStyle w:val="ListParagraph"/>
        <w:numPr>
          <w:ilvl w:val="0"/>
          <w:numId w:val="19"/>
        </w:numPr>
        <w:autoSpaceDE w:val="0"/>
        <w:autoSpaceDN w:val="0"/>
        <w:adjustRightInd w:val="0"/>
        <w:spacing w:after="60" w:line="240" w:lineRule="auto"/>
        <w:ind w:left="714" w:hanging="357"/>
        <w:contextualSpacing w:val="0"/>
        <w:rPr>
          <w:rFonts w:cs="Arial"/>
          <w:sz w:val="22"/>
        </w:rPr>
      </w:pPr>
      <w:r w:rsidRPr="00BE5419">
        <w:rPr>
          <w:rFonts w:cs="Arial"/>
          <w:sz w:val="22"/>
        </w:rPr>
        <w:t xml:space="preserve">The components of each standard provide a guide </w:t>
      </w:r>
      <w:r w:rsidR="009973FE">
        <w:rPr>
          <w:rFonts w:cs="Arial"/>
          <w:sz w:val="22"/>
        </w:rPr>
        <w:t xml:space="preserve">as </w:t>
      </w:r>
      <w:r w:rsidRPr="00BE5419">
        <w:rPr>
          <w:rFonts w:cs="Arial"/>
          <w:sz w:val="22"/>
        </w:rPr>
        <w:t>to what should be seen as a minimum for that standard</w:t>
      </w:r>
    </w:p>
    <w:p w14:paraId="1D763022" w14:textId="77777777" w:rsidR="008406B6" w:rsidRPr="00BE5419" w:rsidRDefault="008406B6" w:rsidP="008406B6">
      <w:pPr>
        <w:pStyle w:val="ListParagraph"/>
        <w:numPr>
          <w:ilvl w:val="0"/>
          <w:numId w:val="19"/>
        </w:numPr>
        <w:autoSpaceDE w:val="0"/>
        <w:autoSpaceDN w:val="0"/>
        <w:adjustRightInd w:val="0"/>
        <w:spacing w:after="0" w:line="240" w:lineRule="auto"/>
        <w:rPr>
          <w:rFonts w:cs="Arial"/>
          <w:sz w:val="22"/>
        </w:rPr>
      </w:pPr>
      <w:r w:rsidRPr="00BE5419">
        <w:rPr>
          <w:rFonts w:cs="Arial"/>
          <w:sz w:val="22"/>
        </w:rPr>
        <w:t>Each component should be RAG rated and consideration given as to how the Practice might provide evidence to demonstrate achievement against the RAG rating</w:t>
      </w:r>
    </w:p>
    <w:p w14:paraId="5A214C16" w14:textId="1C856861" w:rsidR="008406B6" w:rsidRDefault="008406B6" w:rsidP="008406B6">
      <w:pPr>
        <w:pStyle w:val="ListParagraph"/>
        <w:numPr>
          <w:ilvl w:val="0"/>
          <w:numId w:val="19"/>
        </w:numPr>
        <w:autoSpaceDE w:val="0"/>
        <w:autoSpaceDN w:val="0"/>
        <w:adjustRightInd w:val="0"/>
        <w:spacing w:after="0" w:line="240" w:lineRule="auto"/>
        <w:rPr>
          <w:rFonts w:cs="Arial"/>
          <w:sz w:val="22"/>
        </w:rPr>
      </w:pPr>
      <w:r w:rsidRPr="00BE5419">
        <w:rPr>
          <w:rFonts w:cs="Arial"/>
          <w:sz w:val="22"/>
        </w:rPr>
        <w:t xml:space="preserve">For any standards </w:t>
      </w:r>
      <w:r w:rsidR="002365EE">
        <w:rPr>
          <w:rFonts w:cs="Arial"/>
          <w:sz w:val="22"/>
        </w:rPr>
        <w:t xml:space="preserve">that are not </w:t>
      </w:r>
      <w:r w:rsidR="009973FE">
        <w:rPr>
          <w:rFonts w:cs="Arial"/>
          <w:sz w:val="22"/>
        </w:rPr>
        <w:t xml:space="preserve">rated </w:t>
      </w:r>
      <w:r w:rsidR="002365EE">
        <w:rPr>
          <w:rFonts w:cs="Arial"/>
          <w:sz w:val="22"/>
        </w:rPr>
        <w:t>green</w:t>
      </w:r>
      <w:r w:rsidR="009973FE">
        <w:rPr>
          <w:rFonts w:cs="Arial"/>
          <w:sz w:val="22"/>
        </w:rPr>
        <w:t>,</w:t>
      </w:r>
      <w:r w:rsidR="002365EE">
        <w:rPr>
          <w:rFonts w:cs="Arial"/>
          <w:sz w:val="22"/>
        </w:rPr>
        <w:t xml:space="preserve"> details of any action </w:t>
      </w:r>
      <w:proofErr w:type="gramStart"/>
      <w:r w:rsidR="002365EE">
        <w:rPr>
          <w:rFonts w:cs="Arial"/>
          <w:sz w:val="22"/>
        </w:rPr>
        <w:t>plan</w:t>
      </w:r>
      <w:r w:rsidR="009973FE">
        <w:rPr>
          <w:rFonts w:cs="Arial"/>
          <w:sz w:val="22"/>
        </w:rPr>
        <w:t>s</w:t>
      </w:r>
      <w:proofErr w:type="gramEnd"/>
      <w:r w:rsidR="002365EE">
        <w:rPr>
          <w:rFonts w:cs="Arial"/>
          <w:sz w:val="22"/>
        </w:rPr>
        <w:t xml:space="preserve"> developed can be recorded</w:t>
      </w:r>
      <w:r w:rsidRPr="00BE5419">
        <w:rPr>
          <w:rFonts w:cs="Arial"/>
          <w:sz w:val="22"/>
        </w:rPr>
        <w:t xml:space="preserve"> </w:t>
      </w:r>
    </w:p>
    <w:p w14:paraId="4A70C9A0" w14:textId="77777777" w:rsidR="00DA7677" w:rsidRPr="00DA7677" w:rsidRDefault="00DA7677" w:rsidP="00DA7677">
      <w:pPr>
        <w:autoSpaceDE w:val="0"/>
        <w:autoSpaceDN w:val="0"/>
        <w:adjustRightInd w:val="0"/>
        <w:spacing w:after="0" w:line="240" w:lineRule="auto"/>
        <w:ind w:left="360"/>
        <w:rPr>
          <w:rFonts w:cs="Arial"/>
          <w:sz w:val="22"/>
        </w:rPr>
      </w:pPr>
    </w:p>
    <w:p w14:paraId="63F3CC99" w14:textId="0BA103AA" w:rsidR="00DA7677" w:rsidRPr="00DA7677" w:rsidRDefault="00DA7677" w:rsidP="00DA7677">
      <w:pPr>
        <w:autoSpaceDE w:val="0"/>
        <w:autoSpaceDN w:val="0"/>
        <w:adjustRightInd w:val="0"/>
        <w:spacing w:after="0" w:line="240" w:lineRule="auto"/>
        <w:rPr>
          <w:rFonts w:cs="Arial"/>
          <w:sz w:val="22"/>
        </w:rPr>
      </w:pPr>
      <w:r>
        <w:rPr>
          <w:rFonts w:cs="Arial"/>
          <w:sz w:val="22"/>
        </w:rPr>
        <w:t xml:space="preserve">It is recognised that not all Practices will have the same arrangements in place or there may be different </w:t>
      </w:r>
      <w:r w:rsidR="007B79FC">
        <w:rPr>
          <w:rFonts w:cs="Arial"/>
          <w:sz w:val="22"/>
        </w:rPr>
        <w:t xml:space="preserve">titles for </w:t>
      </w:r>
      <w:r>
        <w:rPr>
          <w:rFonts w:cs="Arial"/>
          <w:sz w:val="22"/>
        </w:rPr>
        <w:t>components identified within this document. Therefore</w:t>
      </w:r>
      <w:r w:rsidR="00873530">
        <w:rPr>
          <w:rFonts w:cs="Arial"/>
          <w:sz w:val="22"/>
        </w:rPr>
        <w:t>,</w:t>
      </w:r>
      <w:r>
        <w:rPr>
          <w:rFonts w:cs="Arial"/>
          <w:sz w:val="22"/>
        </w:rPr>
        <w:t xml:space="preserve"> please advise your Practice approach</w:t>
      </w:r>
      <w:r w:rsidR="007B79FC">
        <w:rPr>
          <w:rFonts w:cs="Arial"/>
          <w:sz w:val="22"/>
        </w:rPr>
        <w:t xml:space="preserve"> to the component</w:t>
      </w:r>
      <w:r>
        <w:rPr>
          <w:rFonts w:cs="Arial"/>
          <w:sz w:val="22"/>
        </w:rPr>
        <w:t xml:space="preserve">, or if you are </w:t>
      </w:r>
      <w:r w:rsidR="009973FE">
        <w:rPr>
          <w:rFonts w:cs="Arial"/>
          <w:sz w:val="22"/>
        </w:rPr>
        <w:t>unsure,</w:t>
      </w:r>
      <w:r>
        <w:rPr>
          <w:rFonts w:cs="Arial"/>
          <w:sz w:val="22"/>
        </w:rPr>
        <w:t xml:space="preserve"> please contact the Designated Safeguarding Team in your area.</w:t>
      </w:r>
    </w:p>
    <w:p w14:paraId="1AFD02BE" w14:textId="77777777" w:rsidR="008406B6" w:rsidRPr="00426162" w:rsidRDefault="008406B6" w:rsidP="008406B6">
      <w:pPr>
        <w:spacing w:after="0" w:line="240" w:lineRule="auto"/>
        <w:rPr>
          <w:rFonts w:cs="Arial"/>
          <w:sz w:val="22"/>
        </w:rPr>
      </w:pPr>
    </w:p>
    <w:tbl>
      <w:tblPr>
        <w:tblStyle w:val="TableGrid0"/>
        <w:tblW w:w="14171" w:type="dxa"/>
        <w:tblInd w:w="-106" w:type="dxa"/>
        <w:tblCellMar>
          <w:top w:w="99" w:type="dxa"/>
          <w:left w:w="106" w:type="dxa"/>
          <w:right w:w="115" w:type="dxa"/>
        </w:tblCellMar>
        <w:tblLook w:val="04A0" w:firstRow="1" w:lastRow="0" w:firstColumn="1" w:lastColumn="0" w:noHBand="0" w:noVBand="1"/>
      </w:tblPr>
      <w:tblGrid>
        <w:gridCol w:w="5007"/>
        <w:gridCol w:w="9164"/>
      </w:tblGrid>
      <w:tr w:rsidR="008406B6" w14:paraId="5369018A" w14:textId="77777777" w:rsidTr="00A70DFF">
        <w:trPr>
          <w:trHeight w:val="364"/>
        </w:trPr>
        <w:tc>
          <w:tcPr>
            <w:tcW w:w="5007" w:type="dxa"/>
            <w:tcBorders>
              <w:top w:val="single" w:sz="6" w:space="0" w:color="000000"/>
              <w:left w:val="single" w:sz="4" w:space="0" w:color="000000"/>
              <w:bottom w:val="single" w:sz="4" w:space="0" w:color="000000"/>
              <w:right w:val="single" w:sz="4" w:space="0" w:color="000000"/>
            </w:tcBorders>
            <w:hideMark/>
          </w:tcPr>
          <w:p w14:paraId="775F01D8" w14:textId="77777777" w:rsidR="008406B6" w:rsidRDefault="008406B6" w:rsidP="00A70DFF">
            <w:pPr>
              <w:spacing w:line="256" w:lineRule="auto"/>
              <w:rPr>
                <w:rFonts w:eastAsia="Arial" w:cs="Arial"/>
                <w:color w:val="000000"/>
              </w:rPr>
            </w:pPr>
            <w:r>
              <w:rPr>
                <w:b/>
                <w:sz w:val="20"/>
              </w:rPr>
              <w:t xml:space="preserve">Name of Practice: </w:t>
            </w:r>
          </w:p>
        </w:tc>
        <w:tc>
          <w:tcPr>
            <w:tcW w:w="9164" w:type="dxa"/>
            <w:tcBorders>
              <w:top w:val="single" w:sz="6" w:space="0" w:color="000000"/>
              <w:left w:val="single" w:sz="4" w:space="0" w:color="000000"/>
              <w:bottom w:val="single" w:sz="4" w:space="0" w:color="000000"/>
              <w:right w:val="single" w:sz="4" w:space="0" w:color="000000"/>
            </w:tcBorders>
            <w:hideMark/>
          </w:tcPr>
          <w:p w14:paraId="12D6BEF9" w14:textId="77777777" w:rsidR="008406B6" w:rsidRDefault="008406B6" w:rsidP="00A70DFF">
            <w:pPr>
              <w:spacing w:line="256" w:lineRule="auto"/>
              <w:ind w:left="2"/>
              <w:rPr>
                <w:rFonts w:eastAsia="Arial" w:cs="Arial"/>
                <w:color w:val="000000"/>
              </w:rPr>
            </w:pPr>
            <w:r>
              <w:rPr>
                <w:b/>
                <w:sz w:val="20"/>
              </w:rPr>
              <w:t xml:space="preserve"> </w:t>
            </w:r>
          </w:p>
        </w:tc>
      </w:tr>
      <w:tr w:rsidR="008406B6" w14:paraId="79970EA1" w14:textId="77777777" w:rsidTr="00A70DFF">
        <w:trPr>
          <w:trHeight w:val="590"/>
        </w:trPr>
        <w:tc>
          <w:tcPr>
            <w:tcW w:w="5007" w:type="dxa"/>
            <w:tcBorders>
              <w:top w:val="single" w:sz="4" w:space="0" w:color="000000"/>
              <w:left w:val="single" w:sz="4" w:space="0" w:color="000000"/>
              <w:bottom w:val="single" w:sz="4" w:space="0" w:color="000000"/>
              <w:right w:val="single" w:sz="4" w:space="0" w:color="000000"/>
            </w:tcBorders>
            <w:hideMark/>
          </w:tcPr>
          <w:p w14:paraId="7E6CF5FA" w14:textId="77777777" w:rsidR="008406B6" w:rsidRDefault="008406B6" w:rsidP="00A70DFF">
            <w:pPr>
              <w:spacing w:line="256" w:lineRule="auto"/>
              <w:rPr>
                <w:rFonts w:eastAsia="Arial" w:cs="Arial"/>
                <w:color w:val="000000"/>
              </w:rPr>
            </w:pPr>
            <w:r>
              <w:rPr>
                <w:b/>
                <w:sz w:val="20"/>
              </w:rPr>
              <w:t xml:space="preserve">Person completing the audit tool (include designation, contact details including email) </w:t>
            </w:r>
          </w:p>
        </w:tc>
        <w:tc>
          <w:tcPr>
            <w:tcW w:w="9164" w:type="dxa"/>
            <w:tcBorders>
              <w:top w:val="single" w:sz="4" w:space="0" w:color="000000"/>
              <w:left w:val="single" w:sz="4" w:space="0" w:color="000000"/>
              <w:bottom w:val="single" w:sz="4" w:space="0" w:color="000000"/>
              <w:right w:val="single" w:sz="4" w:space="0" w:color="000000"/>
            </w:tcBorders>
            <w:hideMark/>
          </w:tcPr>
          <w:p w14:paraId="352578C6" w14:textId="77777777" w:rsidR="008406B6" w:rsidRDefault="008406B6" w:rsidP="00A70DFF">
            <w:pPr>
              <w:spacing w:line="256" w:lineRule="auto"/>
              <w:ind w:left="2"/>
              <w:rPr>
                <w:rFonts w:eastAsia="Arial" w:cs="Arial"/>
                <w:color w:val="000000"/>
              </w:rPr>
            </w:pPr>
            <w:r>
              <w:rPr>
                <w:b/>
                <w:sz w:val="20"/>
              </w:rPr>
              <w:t xml:space="preserve"> </w:t>
            </w:r>
          </w:p>
        </w:tc>
      </w:tr>
      <w:tr w:rsidR="008406B6" w14:paraId="708A6F7D" w14:textId="77777777" w:rsidTr="00A70DFF">
        <w:trPr>
          <w:trHeight w:val="360"/>
        </w:trPr>
        <w:tc>
          <w:tcPr>
            <w:tcW w:w="5007" w:type="dxa"/>
            <w:tcBorders>
              <w:top w:val="single" w:sz="4" w:space="0" w:color="000000"/>
              <w:left w:val="single" w:sz="4" w:space="0" w:color="000000"/>
              <w:bottom w:val="single" w:sz="4" w:space="0" w:color="000000"/>
              <w:right w:val="single" w:sz="4" w:space="0" w:color="000000"/>
            </w:tcBorders>
            <w:hideMark/>
          </w:tcPr>
          <w:p w14:paraId="33193A5D" w14:textId="77777777" w:rsidR="008406B6" w:rsidRDefault="008406B6" w:rsidP="00A70DFF">
            <w:pPr>
              <w:spacing w:line="256" w:lineRule="auto"/>
              <w:rPr>
                <w:rFonts w:eastAsia="Arial" w:cs="Arial"/>
                <w:color w:val="000000"/>
              </w:rPr>
            </w:pPr>
            <w:r>
              <w:rPr>
                <w:b/>
                <w:sz w:val="20"/>
              </w:rPr>
              <w:t xml:space="preserve">Dated audit tool completed </w:t>
            </w:r>
          </w:p>
        </w:tc>
        <w:tc>
          <w:tcPr>
            <w:tcW w:w="9164" w:type="dxa"/>
            <w:tcBorders>
              <w:top w:val="single" w:sz="4" w:space="0" w:color="000000"/>
              <w:left w:val="single" w:sz="4" w:space="0" w:color="000000"/>
              <w:bottom w:val="single" w:sz="4" w:space="0" w:color="000000"/>
              <w:right w:val="single" w:sz="4" w:space="0" w:color="000000"/>
            </w:tcBorders>
            <w:hideMark/>
          </w:tcPr>
          <w:p w14:paraId="69E0CFA2" w14:textId="77777777" w:rsidR="008406B6" w:rsidRDefault="008406B6" w:rsidP="00A70DFF">
            <w:pPr>
              <w:spacing w:line="256" w:lineRule="auto"/>
              <w:ind w:left="2"/>
              <w:rPr>
                <w:rFonts w:eastAsia="Arial" w:cs="Arial"/>
                <w:color w:val="000000"/>
              </w:rPr>
            </w:pPr>
          </w:p>
        </w:tc>
      </w:tr>
    </w:tbl>
    <w:p w14:paraId="5FE8879B" w14:textId="77777777" w:rsidR="009973FE" w:rsidRDefault="009973FE" w:rsidP="008406B6">
      <w:pPr>
        <w:spacing w:before="60" w:after="0" w:line="240" w:lineRule="auto"/>
        <w:rPr>
          <w:rFonts w:cs="Arial"/>
          <w:b/>
          <w:sz w:val="22"/>
        </w:rPr>
      </w:pPr>
    </w:p>
    <w:p w14:paraId="66482607" w14:textId="77777777" w:rsidR="00B7063A" w:rsidRDefault="00B7063A" w:rsidP="008406B6">
      <w:pPr>
        <w:spacing w:before="60" w:after="0" w:line="240" w:lineRule="auto"/>
        <w:rPr>
          <w:rFonts w:cs="Arial"/>
          <w:b/>
          <w:sz w:val="22"/>
        </w:rPr>
      </w:pPr>
    </w:p>
    <w:p w14:paraId="79FD5533" w14:textId="2176D14C" w:rsidR="008406B6" w:rsidRPr="00DB4395" w:rsidRDefault="008406B6" w:rsidP="008406B6">
      <w:pPr>
        <w:spacing w:before="60" w:after="0" w:line="240" w:lineRule="auto"/>
        <w:rPr>
          <w:rFonts w:cs="Arial"/>
          <w:b/>
          <w:sz w:val="22"/>
        </w:rPr>
      </w:pPr>
      <w:r w:rsidRPr="00DB4395">
        <w:rPr>
          <w:rFonts w:cs="Arial"/>
          <w:b/>
          <w:sz w:val="22"/>
        </w:rPr>
        <w:lastRenderedPageBreak/>
        <w:t>RAG rating Key:</w:t>
      </w:r>
    </w:p>
    <w:p w14:paraId="06BA874F" w14:textId="77777777" w:rsidR="008406B6" w:rsidRPr="00DB4395" w:rsidRDefault="008406B6" w:rsidP="008406B6">
      <w:pPr>
        <w:spacing w:before="60" w:after="0" w:line="240" w:lineRule="auto"/>
        <w:rPr>
          <w:rFonts w:cs="Arial"/>
          <w:sz w:val="22"/>
        </w:rPr>
      </w:pPr>
    </w:p>
    <w:tbl>
      <w:tblPr>
        <w:tblW w:w="0" w:type="auto"/>
        <w:tblLayout w:type="fixed"/>
        <w:tblLook w:val="01E0" w:firstRow="1" w:lastRow="1" w:firstColumn="1" w:lastColumn="1" w:noHBand="0" w:noVBand="0"/>
      </w:tblPr>
      <w:tblGrid>
        <w:gridCol w:w="1101"/>
        <w:gridCol w:w="671"/>
        <w:gridCol w:w="11883"/>
      </w:tblGrid>
      <w:tr w:rsidR="008406B6" w:rsidRPr="00DB4395" w14:paraId="527B641D" w14:textId="77777777" w:rsidTr="00A70DFF">
        <w:tc>
          <w:tcPr>
            <w:tcW w:w="1101" w:type="dxa"/>
          </w:tcPr>
          <w:p w14:paraId="3CE585E4" w14:textId="77777777" w:rsidR="008406B6" w:rsidRPr="00DB4395" w:rsidRDefault="008406B6" w:rsidP="00A70DFF">
            <w:pPr>
              <w:spacing w:before="60" w:after="0" w:line="240" w:lineRule="auto"/>
              <w:rPr>
                <w:rFonts w:cs="Arial"/>
                <w:sz w:val="22"/>
              </w:rPr>
            </w:pPr>
            <w:r w:rsidRPr="00DB4395">
              <w:rPr>
                <w:rFonts w:cs="Arial"/>
                <w:sz w:val="22"/>
              </w:rPr>
              <w:t>Green</w:t>
            </w:r>
          </w:p>
        </w:tc>
        <w:tc>
          <w:tcPr>
            <w:tcW w:w="671" w:type="dxa"/>
            <w:shd w:val="clear" w:color="auto" w:fill="339966"/>
          </w:tcPr>
          <w:p w14:paraId="4C4E4B67" w14:textId="77777777" w:rsidR="008406B6" w:rsidRPr="00DB4395" w:rsidRDefault="008406B6" w:rsidP="00A70DFF">
            <w:pPr>
              <w:spacing w:before="60" w:after="0" w:line="240" w:lineRule="auto"/>
              <w:rPr>
                <w:rFonts w:cs="Arial"/>
                <w:sz w:val="22"/>
              </w:rPr>
            </w:pPr>
          </w:p>
        </w:tc>
        <w:tc>
          <w:tcPr>
            <w:tcW w:w="11883" w:type="dxa"/>
          </w:tcPr>
          <w:p w14:paraId="72AF8482" w14:textId="77777777" w:rsidR="008406B6" w:rsidRPr="00C636CB" w:rsidRDefault="008406B6" w:rsidP="00A70DFF">
            <w:pPr>
              <w:spacing w:before="60" w:after="0" w:line="240" w:lineRule="auto"/>
              <w:rPr>
                <w:rFonts w:cs="Arial"/>
                <w:sz w:val="22"/>
              </w:rPr>
            </w:pPr>
            <w:r w:rsidRPr="00C636CB">
              <w:rPr>
                <w:rFonts w:cs="Arial"/>
                <w:sz w:val="22"/>
              </w:rPr>
              <w:t>Provider is assured that they are fully compliant (remains subject to continuous quality improvement)</w:t>
            </w:r>
          </w:p>
        </w:tc>
      </w:tr>
      <w:tr w:rsidR="008406B6" w:rsidRPr="00DB4395" w14:paraId="2CD080DC" w14:textId="77777777" w:rsidTr="00A70DFF">
        <w:tc>
          <w:tcPr>
            <w:tcW w:w="1101" w:type="dxa"/>
          </w:tcPr>
          <w:p w14:paraId="62BC9429" w14:textId="77777777" w:rsidR="008406B6" w:rsidRPr="00DB4395" w:rsidRDefault="008406B6" w:rsidP="00A70DFF">
            <w:pPr>
              <w:spacing w:before="60" w:after="0" w:line="240" w:lineRule="auto"/>
              <w:rPr>
                <w:rFonts w:cs="Arial"/>
                <w:sz w:val="22"/>
              </w:rPr>
            </w:pPr>
            <w:r w:rsidRPr="00DB4395">
              <w:rPr>
                <w:rFonts w:cs="Arial"/>
                <w:sz w:val="22"/>
              </w:rPr>
              <w:t>Amber</w:t>
            </w:r>
          </w:p>
        </w:tc>
        <w:tc>
          <w:tcPr>
            <w:tcW w:w="671" w:type="dxa"/>
            <w:shd w:val="clear" w:color="auto" w:fill="FFCC00"/>
          </w:tcPr>
          <w:p w14:paraId="778CCABF" w14:textId="77777777" w:rsidR="008406B6" w:rsidRPr="00DB4395" w:rsidRDefault="008406B6" w:rsidP="00A70DFF">
            <w:pPr>
              <w:spacing w:before="60" w:after="0" w:line="240" w:lineRule="auto"/>
              <w:rPr>
                <w:rFonts w:cs="Arial"/>
                <w:sz w:val="22"/>
              </w:rPr>
            </w:pPr>
          </w:p>
        </w:tc>
        <w:tc>
          <w:tcPr>
            <w:tcW w:w="11883" w:type="dxa"/>
          </w:tcPr>
          <w:p w14:paraId="6F4B0A21" w14:textId="77777777" w:rsidR="008406B6" w:rsidRPr="00C636CB" w:rsidRDefault="008406B6" w:rsidP="00A70DFF">
            <w:pPr>
              <w:spacing w:before="60" w:after="0" w:line="240" w:lineRule="auto"/>
              <w:rPr>
                <w:rFonts w:cs="Arial"/>
                <w:sz w:val="22"/>
              </w:rPr>
            </w:pPr>
            <w:r w:rsidRPr="00C636CB">
              <w:rPr>
                <w:rFonts w:cs="Arial"/>
                <w:sz w:val="22"/>
              </w:rPr>
              <w:t xml:space="preserve">Provider identified that there are some gaps in compliance and an improvement plan is in place </w:t>
            </w:r>
          </w:p>
        </w:tc>
      </w:tr>
      <w:tr w:rsidR="008406B6" w:rsidRPr="00DB4395" w14:paraId="2E1044B4" w14:textId="77777777" w:rsidTr="00A70DFF">
        <w:tc>
          <w:tcPr>
            <w:tcW w:w="1101" w:type="dxa"/>
          </w:tcPr>
          <w:p w14:paraId="55EC4EEA" w14:textId="77777777" w:rsidR="008406B6" w:rsidRPr="00DB4395" w:rsidRDefault="008406B6" w:rsidP="00A70DFF">
            <w:pPr>
              <w:spacing w:before="60" w:after="0" w:line="240" w:lineRule="auto"/>
              <w:rPr>
                <w:rFonts w:cs="Arial"/>
                <w:sz w:val="22"/>
              </w:rPr>
            </w:pPr>
            <w:r w:rsidRPr="00DB4395">
              <w:rPr>
                <w:rFonts w:cs="Arial"/>
                <w:sz w:val="22"/>
              </w:rPr>
              <w:t>Red</w:t>
            </w:r>
          </w:p>
        </w:tc>
        <w:tc>
          <w:tcPr>
            <w:tcW w:w="671" w:type="dxa"/>
            <w:shd w:val="clear" w:color="auto" w:fill="FF0000"/>
          </w:tcPr>
          <w:p w14:paraId="659C3C6D" w14:textId="77777777" w:rsidR="008406B6" w:rsidRPr="00DB4395" w:rsidRDefault="008406B6" w:rsidP="00A70DFF">
            <w:pPr>
              <w:spacing w:before="60" w:after="0" w:line="240" w:lineRule="auto"/>
              <w:rPr>
                <w:rFonts w:cs="Arial"/>
                <w:sz w:val="22"/>
              </w:rPr>
            </w:pPr>
          </w:p>
        </w:tc>
        <w:tc>
          <w:tcPr>
            <w:tcW w:w="11883" w:type="dxa"/>
          </w:tcPr>
          <w:p w14:paraId="35C6FE23" w14:textId="77777777" w:rsidR="008406B6" w:rsidRPr="00C636CB" w:rsidRDefault="008406B6" w:rsidP="00A70DFF">
            <w:pPr>
              <w:spacing w:before="60" w:after="0" w:line="240" w:lineRule="auto"/>
              <w:rPr>
                <w:rFonts w:cs="Arial"/>
                <w:sz w:val="22"/>
              </w:rPr>
            </w:pPr>
            <w:r w:rsidRPr="00C636CB">
              <w:rPr>
                <w:rFonts w:cs="Arial"/>
                <w:sz w:val="22"/>
              </w:rPr>
              <w:t>Provider identified that there is limited compliance against standards and a detailed action plan is in place to ensure full compliance within an identified timeframe</w:t>
            </w:r>
          </w:p>
        </w:tc>
      </w:tr>
    </w:tbl>
    <w:p w14:paraId="41288BE0" w14:textId="77777777" w:rsidR="00D830B1" w:rsidRPr="00BB2D23" w:rsidRDefault="00D830B1" w:rsidP="00BB2D23">
      <w:pPr>
        <w:rPr>
          <w:sz w:val="22"/>
        </w:rPr>
      </w:pPr>
    </w:p>
    <w:tbl>
      <w:tblPr>
        <w:tblStyle w:val="TableGrid"/>
        <w:tblW w:w="15276" w:type="dxa"/>
        <w:tblLook w:val="04A0" w:firstRow="1" w:lastRow="0" w:firstColumn="1" w:lastColumn="0" w:noHBand="0" w:noVBand="1"/>
      </w:tblPr>
      <w:tblGrid>
        <w:gridCol w:w="2963"/>
        <w:gridCol w:w="8089"/>
        <w:gridCol w:w="151"/>
        <w:gridCol w:w="842"/>
        <w:gridCol w:w="218"/>
        <w:gridCol w:w="3013"/>
      </w:tblGrid>
      <w:tr w:rsidR="00DB4395" w14:paraId="2B8FEE6C" w14:textId="77777777" w:rsidTr="00E31C38">
        <w:tc>
          <w:tcPr>
            <w:tcW w:w="15276" w:type="dxa"/>
            <w:gridSpan w:val="6"/>
            <w:shd w:val="clear" w:color="auto" w:fill="DBE5F1" w:themeFill="accent1" w:themeFillTint="33"/>
          </w:tcPr>
          <w:p w14:paraId="4B8AEC16" w14:textId="77777777" w:rsidR="00DB4395" w:rsidRPr="00DB4395" w:rsidRDefault="007168C7" w:rsidP="007168C7">
            <w:pPr>
              <w:spacing w:after="120"/>
              <w:jc w:val="center"/>
              <w:rPr>
                <w:rFonts w:cs="Arial"/>
                <w:b/>
                <w:szCs w:val="24"/>
              </w:rPr>
            </w:pPr>
            <w:r>
              <w:rPr>
                <w:rFonts w:cs="Arial"/>
                <w:b/>
                <w:szCs w:val="24"/>
              </w:rPr>
              <w:t xml:space="preserve"> Safeguarding Leadership</w:t>
            </w:r>
            <w:r w:rsidR="00706902">
              <w:rPr>
                <w:rFonts w:cs="Arial"/>
                <w:b/>
                <w:szCs w:val="24"/>
              </w:rPr>
              <w:t xml:space="preserve"> within the Practice</w:t>
            </w:r>
          </w:p>
        </w:tc>
      </w:tr>
      <w:tr w:rsidR="002B26E7" w14:paraId="1D37EA0A" w14:textId="77777777" w:rsidTr="002B26E7">
        <w:tc>
          <w:tcPr>
            <w:tcW w:w="2963" w:type="dxa"/>
            <w:shd w:val="clear" w:color="auto" w:fill="B8CCE4" w:themeFill="accent1" w:themeFillTint="66"/>
          </w:tcPr>
          <w:p w14:paraId="4BBA6453" w14:textId="77777777" w:rsidR="002B26E7" w:rsidRPr="00E31C38" w:rsidRDefault="002B26E7" w:rsidP="00E31C38">
            <w:pPr>
              <w:spacing w:after="120"/>
              <w:jc w:val="center"/>
              <w:rPr>
                <w:rFonts w:cs="Arial"/>
                <w:b/>
                <w:sz w:val="22"/>
              </w:rPr>
            </w:pPr>
            <w:r w:rsidRPr="00C636CB">
              <w:rPr>
                <w:rFonts w:cs="Arial"/>
                <w:b/>
                <w:color w:val="FF0000"/>
                <w:sz w:val="22"/>
              </w:rPr>
              <w:t>Overarching Standard</w:t>
            </w:r>
          </w:p>
        </w:tc>
        <w:tc>
          <w:tcPr>
            <w:tcW w:w="8089" w:type="dxa"/>
            <w:shd w:val="clear" w:color="auto" w:fill="B8CCE4" w:themeFill="accent1" w:themeFillTint="66"/>
          </w:tcPr>
          <w:p w14:paraId="0B55B696" w14:textId="4375E31A" w:rsidR="002B26E7" w:rsidRPr="004D446A" w:rsidRDefault="002B26E7" w:rsidP="004D446A">
            <w:pPr>
              <w:spacing w:before="120" w:after="120"/>
              <w:jc w:val="center"/>
              <w:rPr>
                <w:rFonts w:cs="Arial"/>
                <w:b/>
                <w:sz w:val="18"/>
                <w:szCs w:val="18"/>
              </w:rPr>
            </w:pPr>
            <w:r w:rsidRPr="00E31C38">
              <w:rPr>
                <w:rFonts w:cs="Arial"/>
                <w:b/>
                <w:sz w:val="22"/>
              </w:rPr>
              <w:t>Components of standard</w:t>
            </w:r>
          </w:p>
        </w:tc>
        <w:tc>
          <w:tcPr>
            <w:tcW w:w="993" w:type="dxa"/>
            <w:gridSpan w:val="2"/>
            <w:shd w:val="clear" w:color="auto" w:fill="B8CCE4" w:themeFill="accent1" w:themeFillTint="66"/>
          </w:tcPr>
          <w:p w14:paraId="724A5B7A" w14:textId="77777777" w:rsidR="002B26E7" w:rsidRPr="00E31C38" w:rsidRDefault="002B26E7" w:rsidP="00E31C38">
            <w:pPr>
              <w:spacing w:after="120"/>
              <w:jc w:val="center"/>
              <w:rPr>
                <w:rFonts w:cs="Arial"/>
                <w:b/>
                <w:sz w:val="22"/>
              </w:rPr>
            </w:pPr>
            <w:r w:rsidRPr="00E31C38">
              <w:rPr>
                <w:rFonts w:cs="Arial"/>
                <w:b/>
                <w:sz w:val="22"/>
              </w:rPr>
              <w:t>Rag Rating</w:t>
            </w:r>
          </w:p>
        </w:tc>
        <w:tc>
          <w:tcPr>
            <w:tcW w:w="3231" w:type="dxa"/>
            <w:gridSpan w:val="2"/>
            <w:shd w:val="clear" w:color="auto" w:fill="B8CCE4" w:themeFill="accent1" w:themeFillTint="66"/>
          </w:tcPr>
          <w:p w14:paraId="29A43FFF" w14:textId="77777777" w:rsidR="002B26E7" w:rsidRPr="00E31C38" w:rsidRDefault="002B26E7" w:rsidP="00E31C38">
            <w:pPr>
              <w:spacing w:after="120"/>
              <w:jc w:val="center"/>
              <w:rPr>
                <w:rFonts w:cs="Arial"/>
                <w:b/>
                <w:sz w:val="22"/>
              </w:rPr>
            </w:pPr>
            <w:r w:rsidRPr="00E31C38">
              <w:rPr>
                <w:rFonts w:cs="Arial"/>
                <w:b/>
                <w:sz w:val="22"/>
              </w:rPr>
              <w:t>Comments/actions</w:t>
            </w:r>
            <w:r>
              <w:rPr>
                <w:rFonts w:cs="Arial"/>
                <w:b/>
                <w:sz w:val="22"/>
              </w:rPr>
              <w:t xml:space="preserve"> by the organisation to address any areas of amber/red</w:t>
            </w:r>
          </w:p>
        </w:tc>
      </w:tr>
      <w:tr w:rsidR="002B26E7" w14:paraId="1E485BB3" w14:textId="77777777" w:rsidTr="002B26E7">
        <w:tc>
          <w:tcPr>
            <w:tcW w:w="2963" w:type="dxa"/>
            <w:vMerge w:val="restart"/>
            <w:shd w:val="clear" w:color="auto" w:fill="auto"/>
          </w:tcPr>
          <w:p w14:paraId="051A314B" w14:textId="77777777" w:rsidR="002B26E7" w:rsidRPr="003E512C" w:rsidRDefault="002B26E7" w:rsidP="003E512C">
            <w:pPr>
              <w:pStyle w:val="ListParagraph"/>
              <w:numPr>
                <w:ilvl w:val="0"/>
                <w:numId w:val="35"/>
              </w:numPr>
              <w:spacing w:after="120"/>
              <w:rPr>
                <w:rFonts w:cs="Arial"/>
                <w:b/>
                <w:szCs w:val="24"/>
              </w:rPr>
            </w:pPr>
            <w:r w:rsidRPr="003E512C">
              <w:rPr>
                <w:rFonts w:cs="Arial"/>
                <w:b/>
                <w:sz w:val="18"/>
                <w:szCs w:val="18"/>
              </w:rPr>
              <w:t xml:space="preserve">The Practice </w:t>
            </w:r>
            <w:proofErr w:type="gramStart"/>
            <w:r w:rsidRPr="003E512C">
              <w:rPr>
                <w:rFonts w:cs="Arial"/>
                <w:b/>
                <w:sz w:val="18"/>
                <w:szCs w:val="18"/>
              </w:rPr>
              <w:t>is able to</w:t>
            </w:r>
            <w:proofErr w:type="gramEnd"/>
            <w:r w:rsidRPr="003E512C">
              <w:rPr>
                <w:rFonts w:cs="Arial"/>
                <w:b/>
                <w:sz w:val="18"/>
                <w:szCs w:val="18"/>
              </w:rPr>
              <w:t xml:space="preserve"> define and describe clear and robust</w:t>
            </w:r>
            <w:r>
              <w:rPr>
                <w:rFonts w:cs="Arial"/>
                <w:b/>
                <w:sz w:val="18"/>
                <w:szCs w:val="18"/>
              </w:rPr>
              <w:t xml:space="preserve"> leadership,</w:t>
            </w:r>
            <w:r w:rsidRPr="003E512C">
              <w:rPr>
                <w:rFonts w:cs="Arial"/>
                <w:b/>
                <w:sz w:val="18"/>
                <w:szCs w:val="18"/>
              </w:rPr>
              <w:t xml:space="preserve"> accountability and assurance arrangements for safeguarding at all levels </w:t>
            </w:r>
          </w:p>
        </w:tc>
        <w:tc>
          <w:tcPr>
            <w:tcW w:w="8089" w:type="dxa"/>
            <w:shd w:val="clear" w:color="auto" w:fill="auto"/>
          </w:tcPr>
          <w:p w14:paraId="647AD36F" w14:textId="54C8DF84" w:rsidR="002B26E7" w:rsidRPr="00E31C38" w:rsidRDefault="002B26E7" w:rsidP="00597038">
            <w:pPr>
              <w:jc w:val="center"/>
              <w:rPr>
                <w:rFonts w:cs="Arial"/>
                <w:b/>
                <w:sz w:val="22"/>
              </w:rPr>
            </w:pPr>
            <w:r>
              <w:rPr>
                <w:rFonts w:eastAsiaTheme="minorEastAsia" w:cs="Arial"/>
                <w:sz w:val="18"/>
                <w:szCs w:val="18"/>
                <w:lang w:val="en-US" w:eastAsia="en-GB"/>
              </w:rPr>
              <w:t xml:space="preserve">1A:   </w:t>
            </w:r>
            <w:r>
              <w:rPr>
                <w:rFonts w:ascii="Arial Narrow" w:hAnsi="Arial Narrow" w:cs="Arial"/>
                <w:sz w:val="20"/>
                <w:szCs w:val="20"/>
              </w:rPr>
              <w:t xml:space="preserve">The Practice has a Lead (and Deputy) for Safeguarding Children, Safeguarding Adults at Risk, </w:t>
            </w:r>
            <w:r w:rsidR="00833D84">
              <w:rPr>
                <w:rFonts w:ascii="Arial Narrow" w:hAnsi="Arial Narrow" w:cs="Arial"/>
                <w:sz w:val="20"/>
                <w:szCs w:val="20"/>
              </w:rPr>
              <w:t>(</w:t>
            </w:r>
            <w:r>
              <w:rPr>
                <w:rFonts w:ascii="Arial Narrow" w:hAnsi="Arial Narrow" w:cs="Arial"/>
                <w:sz w:val="20"/>
                <w:szCs w:val="20"/>
              </w:rPr>
              <w:t>Mental Capacity &amp; Deprivation of Liberty Safeguards)</w:t>
            </w:r>
            <w:r w:rsidR="004243E7">
              <w:rPr>
                <w:rFonts w:ascii="Arial Narrow" w:hAnsi="Arial Narrow" w:cs="Arial"/>
                <w:sz w:val="20"/>
                <w:szCs w:val="20"/>
              </w:rPr>
              <w:t>, Domestic Abuse</w:t>
            </w:r>
            <w:r>
              <w:rPr>
                <w:rFonts w:ascii="Arial Narrow" w:hAnsi="Arial Narrow" w:cs="Arial"/>
                <w:sz w:val="20"/>
                <w:szCs w:val="20"/>
              </w:rPr>
              <w:t xml:space="preserve"> and Prevent (this can be more than one person). </w:t>
            </w:r>
          </w:p>
        </w:tc>
        <w:tc>
          <w:tcPr>
            <w:tcW w:w="993" w:type="dxa"/>
            <w:gridSpan w:val="2"/>
            <w:shd w:val="clear" w:color="auto" w:fill="auto"/>
          </w:tcPr>
          <w:p w14:paraId="570E2ACE" w14:textId="77777777" w:rsidR="002B26E7" w:rsidRPr="00E31C38" w:rsidRDefault="002B26E7" w:rsidP="00E31C38">
            <w:pPr>
              <w:spacing w:after="120"/>
              <w:jc w:val="center"/>
              <w:rPr>
                <w:rFonts w:cs="Arial"/>
                <w:b/>
                <w:sz w:val="22"/>
              </w:rPr>
            </w:pPr>
          </w:p>
        </w:tc>
        <w:tc>
          <w:tcPr>
            <w:tcW w:w="3231" w:type="dxa"/>
            <w:gridSpan w:val="2"/>
            <w:shd w:val="clear" w:color="auto" w:fill="auto"/>
          </w:tcPr>
          <w:p w14:paraId="558D06BD" w14:textId="77777777" w:rsidR="002B26E7" w:rsidRPr="00E31C38" w:rsidRDefault="002B26E7" w:rsidP="00E31C38">
            <w:pPr>
              <w:spacing w:after="120"/>
              <w:jc w:val="center"/>
              <w:rPr>
                <w:rFonts w:cs="Arial"/>
                <w:b/>
                <w:sz w:val="22"/>
              </w:rPr>
            </w:pPr>
          </w:p>
        </w:tc>
      </w:tr>
      <w:tr w:rsidR="002B26E7" w14:paraId="2037E15E" w14:textId="77777777" w:rsidTr="002B26E7">
        <w:tc>
          <w:tcPr>
            <w:tcW w:w="2963" w:type="dxa"/>
            <w:vMerge/>
            <w:shd w:val="clear" w:color="auto" w:fill="auto"/>
          </w:tcPr>
          <w:p w14:paraId="58F2B01A" w14:textId="77777777" w:rsidR="002B26E7" w:rsidRPr="005E78A3" w:rsidRDefault="002B26E7" w:rsidP="00375FE7">
            <w:pPr>
              <w:spacing w:after="120"/>
              <w:rPr>
                <w:rFonts w:cs="Arial"/>
                <w:b/>
                <w:sz w:val="18"/>
                <w:szCs w:val="18"/>
              </w:rPr>
            </w:pPr>
          </w:p>
        </w:tc>
        <w:tc>
          <w:tcPr>
            <w:tcW w:w="8089" w:type="dxa"/>
            <w:shd w:val="clear" w:color="auto" w:fill="auto"/>
          </w:tcPr>
          <w:p w14:paraId="2AF536C9" w14:textId="77777777" w:rsidR="002B26E7" w:rsidRDefault="002B26E7" w:rsidP="00597038">
            <w:pPr>
              <w:jc w:val="center"/>
              <w:rPr>
                <w:rFonts w:ascii="Arial Narrow" w:hAnsi="Arial Narrow" w:cs="Arial"/>
                <w:sz w:val="20"/>
                <w:szCs w:val="20"/>
              </w:rPr>
            </w:pPr>
            <w:r>
              <w:rPr>
                <w:rFonts w:ascii="Arial Narrow" w:hAnsi="Arial Narrow" w:cs="Arial"/>
                <w:sz w:val="20"/>
                <w:szCs w:val="20"/>
              </w:rPr>
              <w:t xml:space="preserve">1B.    </w:t>
            </w:r>
            <w:r w:rsidRPr="00516CE3">
              <w:rPr>
                <w:rFonts w:ascii="Arial Narrow" w:hAnsi="Arial Narrow" w:cs="Arial"/>
                <w:sz w:val="20"/>
                <w:szCs w:val="20"/>
              </w:rPr>
              <w:t xml:space="preserve">The GP Safeguarding Lead and Deputy roles are </w:t>
            </w:r>
            <w:r>
              <w:rPr>
                <w:rFonts w:ascii="Arial Narrow" w:hAnsi="Arial Narrow" w:cs="Arial"/>
                <w:sz w:val="20"/>
                <w:szCs w:val="20"/>
              </w:rPr>
              <w:t>established and supported within the Practice and all staff know who these are and how to access their advice</w:t>
            </w:r>
            <w:r w:rsidR="00833D84">
              <w:rPr>
                <w:rFonts w:ascii="Arial Narrow" w:hAnsi="Arial Narrow" w:cs="Arial"/>
                <w:sz w:val="20"/>
                <w:szCs w:val="20"/>
              </w:rPr>
              <w:t>,</w:t>
            </w:r>
            <w:r>
              <w:rPr>
                <w:rFonts w:ascii="Arial Narrow" w:hAnsi="Arial Narrow" w:cs="Arial"/>
                <w:sz w:val="20"/>
                <w:szCs w:val="20"/>
              </w:rPr>
              <w:t xml:space="preserve"> </w:t>
            </w:r>
            <w:proofErr w:type="gramStart"/>
            <w:r>
              <w:rPr>
                <w:rFonts w:ascii="Arial Narrow" w:hAnsi="Arial Narrow" w:cs="Arial"/>
                <w:sz w:val="20"/>
                <w:szCs w:val="20"/>
              </w:rPr>
              <w:t>support</w:t>
            </w:r>
            <w:proofErr w:type="gramEnd"/>
            <w:r w:rsidR="005C70FE">
              <w:rPr>
                <w:rFonts w:ascii="Arial Narrow" w:hAnsi="Arial Narrow" w:cs="Arial"/>
                <w:sz w:val="20"/>
                <w:szCs w:val="20"/>
              </w:rPr>
              <w:t xml:space="preserve"> and supervision</w:t>
            </w:r>
            <w:r w:rsidR="00833D84">
              <w:rPr>
                <w:rFonts w:ascii="Arial Narrow" w:hAnsi="Arial Narrow" w:cs="Arial"/>
                <w:sz w:val="20"/>
                <w:szCs w:val="20"/>
              </w:rPr>
              <w:t>.</w:t>
            </w:r>
          </w:p>
          <w:p w14:paraId="40900358" w14:textId="2F5D5792" w:rsidR="00833D84" w:rsidRPr="00E31C38" w:rsidRDefault="00833D84" w:rsidP="00597038">
            <w:pPr>
              <w:jc w:val="center"/>
              <w:rPr>
                <w:rFonts w:cs="Arial"/>
                <w:b/>
                <w:sz w:val="22"/>
              </w:rPr>
            </w:pPr>
          </w:p>
        </w:tc>
        <w:tc>
          <w:tcPr>
            <w:tcW w:w="993" w:type="dxa"/>
            <w:gridSpan w:val="2"/>
            <w:shd w:val="clear" w:color="auto" w:fill="auto"/>
          </w:tcPr>
          <w:p w14:paraId="6FDD2719" w14:textId="77777777" w:rsidR="002B26E7" w:rsidRPr="00E31C38" w:rsidRDefault="002B26E7" w:rsidP="00E31C38">
            <w:pPr>
              <w:spacing w:after="120"/>
              <w:jc w:val="center"/>
              <w:rPr>
                <w:rFonts w:cs="Arial"/>
                <w:b/>
                <w:sz w:val="22"/>
              </w:rPr>
            </w:pPr>
          </w:p>
        </w:tc>
        <w:tc>
          <w:tcPr>
            <w:tcW w:w="3231" w:type="dxa"/>
            <w:gridSpan w:val="2"/>
            <w:shd w:val="clear" w:color="auto" w:fill="auto"/>
          </w:tcPr>
          <w:p w14:paraId="1231EC03" w14:textId="77777777" w:rsidR="002B26E7" w:rsidRPr="00E31C38" w:rsidRDefault="002B26E7" w:rsidP="00E31C38">
            <w:pPr>
              <w:spacing w:after="120"/>
              <w:jc w:val="center"/>
              <w:rPr>
                <w:rFonts w:cs="Arial"/>
                <w:b/>
                <w:sz w:val="22"/>
              </w:rPr>
            </w:pPr>
          </w:p>
        </w:tc>
      </w:tr>
      <w:tr w:rsidR="002B26E7" w14:paraId="0869D77E" w14:textId="77777777" w:rsidTr="002B26E7">
        <w:tc>
          <w:tcPr>
            <w:tcW w:w="2963" w:type="dxa"/>
            <w:vMerge/>
            <w:shd w:val="clear" w:color="auto" w:fill="auto"/>
          </w:tcPr>
          <w:p w14:paraId="7C3C1D6B" w14:textId="77777777" w:rsidR="002B26E7" w:rsidRPr="005E78A3" w:rsidRDefault="002B26E7" w:rsidP="00375FE7">
            <w:pPr>
              <w:spacing w:after="120"/>
              <w:rPr>
                <w:rFonts w:cs="Arial"/>
                <w:b/>
                <w:sz w:val="18"/>
                <w:szCs w:val="18"/>
              </w:rPr>
            </w:pPr>
          </w:p>
        </w:tc>
        <w:tc>
          <w:tcPr>
            <w:tcW w:w="8089" w:type="dxa"/>
            <w:shd w:val="clear" w:color="auto" w:fill="auto"/>
          </w:tcPr>
          <w:p w14:paraId="324EB446" w14:textId="000C63F8" w:rsidR="002B26E7" w:rsidRDefault="002B26E7" w:rsidP="006D071D">
            <w:pPr>
              <w:spacing w:before="60" w:after="60"/>
              <w:ind w:left="459" w:hanging="459"/>
              <w:rPr>
                <w:rFonts w:ascii="Arial Narrow" w:hAnsi="Arial Narrow" w:cs="Arial"/>
                <w:sz w:val="20"/>
                <w:szCs w:val="20"/>
              </w:rPr>
            </w:pPr>
            <w:r>
              <w:rPr>
                <w:rFonts w:ascii="Arial Narrow" w:hAnsi="Arial Narrow" w:cs="Arial"/>
                <w:sz w:val="20"/>
                <w:szCs w:val="20"/>
              </w:rPr>
              <w:t xml:space="preserve">1C.   The Practice Lead </w:t>
            </w:r>
            <w:r w:rsidRPr="00516CE3">
              <w:rPr>
                <w:rFonts w:ascii="Arial Narrow" w:hAnsi="Arial Narrow" w:cs="Arial"/>
                <w:sz w:val="20"/>
                <w:szCs w:val="20"/>
              </w:rPr>
              <w:t>attend</w:t>
            </w:r>
            <w:r>
              <w:rPr>
                <w:rFonts w:ascii="Arial Narrow" w:hAnsi="Arial Narrow" w:cs="Arial"/>
                <w:sz w:val="20"/>
                <w:szCs w:val="20"/>
              </w:rPr>
              <w:t>s</w:t>
            </w:r>
            <w:r w:rsidRPr="00516CE3">
              <w:rPr>
                <w:rFonts w:ascii="Arial Narrow" w:hAnsi="Arial Narrow" w:cs="Arial"/>
                <w:sz w:val="20"/>
                <w:szCs w:val="20"/>
              </w:rPr>
              <w:t xml:space="preserve"> GP Safeg</w:t>
            </w:r>
            <w:r>
              <w:rPr>
                <w:rFonts w:ascii="Arial Narrow" w:hAnsi="Arial Narrow" w:cs="Arial"/>
                <w:sz w:val="20"/>
                <w:szCs w:val="20"/>
              </w:rPr>
              <w:t>uarding Leads Meetings and</w:t>
            </w:r>
            <w:r w:rsidRPr="00516CE3">
              <w:rPr>
                <w:rFonts w:ascii="Arial Narrow" w:hAnsi="Arial Narrow" w:cs="Arial"/>
                <w:sz w:val="20"/>
                <w:szCs w:val="20"/>
              </w:rPr>
              <w:t xml:space="preserve"> </w:t>
            </w:r>
            <w:r w:rsidR="007455DE">
              <w:rPr>
                <w:rFonts w:ascii="Arial Narrow" w:hAnsi="Arial Narrow" w:cs="Arial"/>
                <w:sz w:val="20"/>
                <w:szCs w:val="20"/>
              </w:rPr>
              <w:t xml:space="preserve">is </w:t>
            </w:r>
            <w:r w:rsidR="007455DE" w:rsidRPr="00516CE3">
              <w:rPr>
                <w:rFonts w:ascii="Arial Narrow" w:hAnsi="Arial Narrow" w:cs="Arial"/>
                <w:sz w:val="20"/>
                <w:szCs w:val="20"/>
              </w:rPr>
              <w:t>responsible</w:t>
            </w:r>
            <w:r w:rsidRPr="00516CE3">
              <w:rPr>
                <w:rFonts w:ascii="Arial Narrow" w:hAnsi="Arial Narrow" w:cs="Arial"/>
                <w:sz w:val="20"/>
                <w:szCs w:val="20"/>
              </w:rPr>
              <w:t xml:space="preserve"> for ensuring the regular dissemination of safeguarding information</w:t>
            </w:r>
            <w:r w:rsidR="00054D55">
              <w:rPr>
                <w:rFonts w:ascii="Arial Narrow" w:hAnsi="Arial Narrow" w:cs="Arial"/>
                <w:sz w:val="20"/>
                <w:szCs w:val="20"/>
              </w:rPr>
              <w:t>/learning</w:t>
            </w:r>
            <w:r w:rsidRPr="00516CE3">
              <w:rPr>
                <w:rFonts w:ascii="Arial Narrow" w:hAnsi="Arial Narrow" w:cs="Arial"/>
                <w:sz w:val="20"/>
                <w:szCs w:val="20"/>
              </w:rPr>
              <w:t xml:space="preserve"> </w:t>
            </w:r>
            <w:r>
              <w:rPr>
                <w:rFonts w:ascii="Arial Narrow" w:hAnsi="Arial Narrow" w:cs="Arial"/>
                <w:sz w:val="20"/>
                <w:szCs w:val="20"/>
              </w:rPr>
              <w:t>throughout the Practice</w:t>
            </w:r>
            <w:r w:rsidR="00833D84">
              <w:rPr>
                <w:rFonts w:ascii="Arial Narrow" w:hAnsi="Arial Narrow" w:cs="Arial"/>
                <w:sz w:val="20"/>
                <w:szCs w:val="20"/>
              </w:rPr>
              <w:t>.</w:t>
            </w:r>
          </w:p>
          <w:p w14:paraId="52CD1D3D" w14:textId="77777777" w:rsidR="002B26E7" w:rsidRPr="00E31C38" w:rsidRDefault="002B26E7" w:rsidP="00597038">
            <w:pPr>
              <w:jc w:val="center"/>
              <w:rPr>
                <w:rFonts w:cs="Arial"/>
                <w:b/>
                <w:sz w:val="22"/>
              </w:rPr>
            </w:pPr>
          </w:p>
        </w:tc>
        <w:tc>
          <w:tcPr>
            <w:tcW w:w="993" w:type="dxa"/>
            <w:gridSpan w:val="2"/>
            <w:shd w:val="clear" w:color="auto" w:fill="auto"/>
          </w:tcPr>
          <w:p w14:paraId="21E78E1F" w14:textId="77777777" w:rsidR="002B26E7" w:rsidRPr="00E31C38" w:rsidRDefault="002B26E7" w:rsidP="00E31C38">
            <w:pPr>
              <w:spacing w:after="120"/>
              <w:jc w:val="center"/>
              <w:rPr>
                <w:rFonts w:cs="Arial"/>
                <w:b/>
                <w:sz w:val="22"/>
              </w:rPr>
            </w:pPr>
          </w:p>
        </w:tc>
        <w:tc>
          <w:tcPr>
            <w:tcW w:w="3231" w:type="dxa"/>
            <w:gridSpan w:val="2"/>
            <w:shd w:val="clear" w:color="auto" w:fill="auto"/>
          </w:tcPr>
          <w:p w14:paraId="4B43F063" w14:textId="77777777" w:rsidR="002B26E7" w:rsidRPr="00E31C38" w:rsidRDefault="002B26E7" w:rsidP="00E31C38">
            <w:pPr>
              <w:spacing w:after="120"/>
              <w:jc w:val="center"/>
              <w:rPr>
                <w:rFonts w:cs="Arial"/>
                <w:b/>
                <w:sz w:val="22"/>
              </w:rPr>
            </w:pPr>
          </w:p>
        </w:tc>
      </w:tr>
      <w:tr w:rsidR="00504AEB" w14:paraId="3DD27129" w14:textId="77777777" w:rsidTr="000316A0">
        <w:tc>
          <w:tcPr>
            <w:tcW w:w="15276" w:type="dxa"/>
            <w:gridSpan w:val="6"/>
            <w:shd w:val="clear" w:color="auto" w:fill="DBE5F1" w:themeFill="accent1" w:themeFillTint="33"/>
          </w:tcPr>
          <w:p w14:paraId="0FE420FE" w14:textId="77777777" w:rsidR="00504AEB" w:rsidRPr="00BF30BE" w:rsidRDefault="007F2B50" w:rsidP="00CE64A3">
            <w:pPr>
              <w:spacing w:before="120" w:after="120"/>
              <w:jc w:val="center"/>
              <w:rPr>
                <w:rFonts w:cs="Arial"/>
                <w:b/>
                <w:bCs/>
                <w:color w:val="000000" w:themeColor="text1"/>
                <w:szCs w:val="24"/>
              </w:rPr>
            </w:pPr>
            <w:r w:rsidRPr="00BF30BE">
              <w:rPr>
                <w:rFonts w:cs="Arial"/>
                <w:b/>
                <w:bCs/>
                <w:color w:val="000000" w:themeColor="text1"/>
                <w:szCs w:val="24"/>
              </w:rPr>
              <w:t>Learning and Training</w:t>
            </w:r>
          </w:p>
        </w:tc>
      </w:tr>
      <w:tr w:rsidR="002B26E7" w14:paraId="66833F7C" w14:textId="77777777" w:rsidTr="00F660C0">
        <w:tc>
          <w:tcPr>
            <w:tcW w:w="2963" w:type="dxa"/>
            <w:shd w:val="clear" w:color="auto" w:fill="B8CCE4" w:themeFill="accent1" w:themeFillTint="66"/>
          </w:tcPr>
          <w:p w14:paraId="4D4C1746" w14:textId="77777777" w:rsidR="002B26E7" w:rsidRPr="00E31C38" w:rsidRDefault="002B26E7" w:rsidP="00783F97">
            <w:pPr>
              <w:spacing w:after="120"/>
              <w:jc w:val="center"/>
              <w:rPr>
                <w:rFonts w:cs="Arial"/>
                <w:b/>
                <w:sz w:val="22"/>
              </w:rPr>
            </w:pPr>
            <w:r w:rsidRPr="00C636CB">
              <w:rPr>
                <w:rFonts w:cs="Arial"/>
                <w:b/>
                <w:color w:val="FF0000"/>
                <w:sz w:val="22"/>
              </w:rPr>
              <w:t>Overarching Standard</w:t>
            </w:r>
          </w:p>
        </w:tc>
        <w:tc>
          <w:tcPr>
            <w:tcW w:w="8089" w:type="dxa"/>
            <w:shd w:val="clear" w:color="auto" w:fill="B8CCE4" w:themeFill="accent1" w:themeFillTint="66"/>
          </w:tcPr>
          <w:p w14:paraId="39B09593" w14:textId="7F87160D" w:rsidR="002B26E7" w:rsidRPr="00597038" w:rsidRDefault="002B26E7" w:rsidP="00783F97">
            <w:pPr>
              <w:spacing w:before="120" w:after="120"/>
              <w:jc w:val="center"/>
              <w:rPr>
                <w:rFonts w:cs="Arial"/>
                <w:b/>
                <w:sz w:val="18"/>
                <w:szCs w:val="18"/>
              </w:rPr>
            </w:pPr>
            <w:r w:rsidRPr="00E31C38">
              <w:rPr>
                <w:rFonts w:cs="Arial"/>
                <w:b/>
                <w:sz w:val="22"/>
              </w:rPr>
              <w:t>Components of standard</w:t>
            </w:r>
          </w:p>
        </w:tc>
        <w:tc>
          <w:tcPr>
            <w:tcW w:w="993" w:type="dxa"/>
            <w:gridSpan w:val="2"/>
            <w:shd w:val="clear" w:color="auto" w:fill="B8CCE4" w:themeFill="accent1" w:themeFillTint="66"/>
          </w:tcPr>
          <w:p w14:paraId="4666F5F4" w14:textId="77777777" w:rsidR="002B26E7" w:rsidRPr="00E31C38" w:rsidRDefault="002B26E7" w:rsidP="00783F97">
            <w:pPr>
              <w:spacing w:after="120"/>
              <w:jc w:val="center"/>
              <w:rPr>
                <w:rFonts w:cs="Arial"/>
                <w:b/>
                <w:sz w:val="22"/>
              </w:rPr>
            </w:pPr>
            <w:r w:rsidRPr="00E31C38">
              <w:rPr>
                <w:rFonts w:cs="Arial"/>
                <w:b/>
                <w:sz w:val="22"/>
              </w:rPr>
              <w:t>Rag Rating</w:t>
            </w:r>
          </w:p>
        </w:tc>
        <w:tc>
          <w:tcPr>
            <w:tcW w:w="3231" w:type="dxa"/>
            <w:gridSpan w:val="2"/>
            <w:shd w:val="clear" w:color="auto" w:fill="B8CCE4" w:themeFill="accent1" w:themeFillTint="66"/>
          </w:tcPr>
          <w:p w14:paraId="76F66B67" w14:textId="77777777" w:rsidR="002B26E7" w:rsidRPr="00E31C38" w:rsidRDefault="002B26E7" w:rsidP="00783F97">
            <w:pPr>
              <w:spacing w:after="120"/>
              <w:jc w:val="center"/>
              <w:rPr>
                <w:rFonts w:cs="Arial"/>
                <w:b/>
                <w:sz w:val="22"/>
              </w:rPr>
            </w:pPr>
            <w:r w:rsidRPr="00E31C38">
              <w:rPr>
                <w:rFonts w:cs="Arial"/>
                <w:b/>
                <w:sz w:val="22"/>
              </w:rPr>
              <w:t>Comments/actions</w:t>
            </w:r>
            <w:r>
              <w:rPr>
                <w:rFonts w:cs="Arial"/>
                <w:b/>
                <w:sz w:val="22"/>
              </w:rPr>
              <w:t xml:space="preserve"> by the organisation to address any areas of amber/red</w:t>
            </w:r>
          </w:p>
        </w:tc>
      </w:tr>
      <w:tr w:rsidR="002B26E7" w14:paraId="15289519" w14:textId="77777777" w:rsidTr="00810774">
        <w:tc>
          <w:tcPr>
            <w:tcW w:w="2963" w:type="dxa"/>
            <w:vMerge w:val="restart"/>
          </w:tcPr>
          <w:p w14:paraId="542755A2" w14:textId="4B249DEB" w:rsidR="002B26E7" w:rsidRPr="002975BA" w:rsidRDefault="002B26E7" w:rsidP="003E512C">
            <w:pPr>
              <w:spacing w:after="120"/>
              <w:ind w:left="426" w:hanging="426"/>
              <w:rPr>
                <w:rFonts w:eastAsia="Arial" w:cs="Arial"/>
                <w:b/>
                <w:sz w:val="22"/>
              </w:rPr>
            </w:pPr>
            <w:r>
              <w:rPr>
                <w:rFonts w:cs="Arial"/>
                <w:b/>
                <w:sz w:val="20"/>
                <w:szCs w:val="20"/>
              </w:rPr>
              <w:t>2.0   The Practice can demonstrate its</w:t>
            </w:r>
            <w:r w:rsidRPr="002C059C">
              <w:rPr>
                <w:rFonts w:cs="Arial"/>
                <w:b/>
                <w:sz w:val="20"/>
                <w:szCs w:val="20"/>
              </w:rPr>
              <w:t xml:space="preserve"> committed to and is embedding a culture of sharing safeguarding learning and practice improvement through their services</w:t>
            </w:r>
          </w:p>
        </w:tc>
        <w:tc>
          <w:tcPr>
            <w:tcW w:w="8089" w:type="dxa"/>
          </w:tcPr>
          <w:p w14:paraId="01461DA4" w14:textId="1CDE61FE" w:rsidR="002B26E7" w:rsidRDefault="002B26E7" w:rsidP="004E54A6">
            <w:pPr>
              <w:spacing w:after="120"/>
              <w:rPr>
                <w:rFonts w:cs="Arial"/>
                <w:sz w:val="22"/>
              </w:rPr>
            </w:pPr>
            <w:r>
              <w:rPr>
                <w:rFonts w:ascii="Arial Narrow" w:hAnsi="Arial Narrow" w:cs="Arial"/>
                <w:bCs/>
                <w:sz w:val="20"/>
                <w:szCs w:val="20"/>
              </w:rPr>
              <w:t xml:space="preserve">2A.    The Practice assures itself that all Practice employees </w:t>
            </w:r>
            <w:r w:rsidRPr="00694D57">
              <w:rPr>
                <w:rFonts w:ascii="Arial Narrow" w:hAnsi="Arial Narrow" w:cs="Arial"/>
                <w:bCs/>
                <w:sz w:val="20"/>
                <w:szCs w:val="20"/>
              </w:rPr>
              <w:t xml:space="preserve">have undertaken the </w:t>
            </w:r>
            <w:r>
              <w:rPr>
                <w:rFonts w:ascii="Arial Narrow" w:hAnsi="Arial Narrow" w:cs="Arial"/>
                <w:bCs/>
                <w:sz w:val="20"/>
                <w:szCs w:val="20"/>
              </w:rPr>
              <w:t>S</w:t>
            </w:r>
            <w:r w:rsidRPr="00694D57">
              <w:rPr>
                <w:rFonts w:ascii="Arial Narrow" w:hAnsi="Arial Narrow" w:cs="Arial"/>
                <w:bCs/>
                <w:sz w:val="20"/>
                <w:szCs w:val="20"/>
              </w:rPr>
              <w:t xml:space="preserve">afeguarding </w:t>
            </w:r>
            <w:r>
              <w:rPr>
                <w:rFonts w:ascii="Arial Narrow" w:hAnsi="Arial Narrow" w:cs="Arial"/>
                <w:bCs/>
                <w:sz w:val="20"/>
                <w:szCs w:val="20"/>
              </w:rPr>
              <w:t>C</w:t>
            </w:r>
            <w:r w:rsidRPr="00694D57">
              <w:rPr>
                <w:rFonts w:ascii="Arial Narrow" w:hAnsi="Arial Narrow" w:cs="Arial"/>
                <w:bCs/>
                <w:sz w:val="20"/>
                <w:szCs w:val="20"/>
              </w:rPr>
              <w:t xml:space="preserve">hildren &amp; </w:t>
            </w:r>
            <w:r>
              <w:rPr>
                <w:rFonts w:ascii="Arial Narrow" w:hAnsi="Arial Narrow" w:cs="Arial"/>
                <w:bCs/>
                <w:sz w:val="20"/>
                <w:szCs w:val="20"/>
              </w:rPr>
              <w:t>A</w:t>
            </w:r>
            <w:r w:rsidRPr="00694D57">
              <w:rPr>
                <w:rFonts w:ascii="Arial Narrow" w:hAnsi="Arial Narrow" w:cs="Arial"/>
                <w:bCs/>
                <w:sz w:val="20"/>
                <w:szCs w:val="20"/>
              </w:rPr>
              <w:t xml:space="preserve">dults </w:t>
            </w:r>
            <w:r>
              <w:rPr>
                <w:rFonts w:ascii="Arial Narrow" w:hAnsi="Arial Narrow" w:cs="Arial"/>
                <w:bCs/>
                <w:sz w:val="20"/>
                <w:szCs w:val="20"/>
              </w:rPr>
              <w:t>at Risk learning</w:t>
            </w:r>
            <w:r w:rsidRPr="00694D57">
              <w:rPr>
                <w:rFonts w:ascii="Arial Narrow" w:hAnsi="Arial Narrow" w:cs="Arial"/>
                <w:bCs/>
                <w:sz w:val="20"/>
                <w:szCs w:val="20"/>
              </w:rPr>
              <w:t xml:space="preserve"> relevant to their role &amp; are competent to execute their duties</w:t>
            </w:r>
            <w:r w:rsidR="001F0F9A">
              <w:rPr>
                <w:rFonts w:ascii="Arial Narrow" w:hAnsi="Arial Narrow" w:cs="Arial"/>
                <w:bCs/>
                <w:sz w:val="20"/>
                <w:szCs w:val="20"/>
              </w:rPr>
              <w:t xml:space="preserve"> I</w:t>
            </w:r>
            <w:r>
              <w:rPr>
                <w:rFonts w:ascii="Arial Narrow" w:hAnsi="Arial Narrow" w:cs="Arial"/>
                <w:bCs/>
                <w:sz w:val="20"/>
                <w:szCs w:val="20"/>
              </w:rPr>
              <w:t xml:space="preserve">n line with the </w:t>
            </w:r>
            <w:r w:rsidRPr="000B45F9">
              <w:rPr>
                <w:rFonts w:ascii="Arial Narrow" w:hAnsi="Arial Narrow" w:cs="Arial"/>
                <w:bCs/>
                <w:sz w:val="20"/>
                <w:szCs w:val="20"/>
              </w:rPr>
              <w:t>Safeguarding Children and Young People: Roles and Competencies for Healthcare Staff</w:t>
            </w:r>
            <w:r>
              <w:rPr>
                <w:rFonts w:ascii="Arial Narrow" w:hAnsi="Arial Narrow" w:cs="Arial"/>
                <w:bCs/>
                <w:sz w:val="20"/>
                <w:szCs w:val="20"/>
              </w:rPr>
              <w:t xml:space="preserve"> (2019)</w:t>
            </w:r>
            <w:r w:rsidR="008017C4">
              <w:rPr>
                <w:rFonts w:ascii="Arial Narrow" w:hAnsi="Arial Narrow" w:cs="Arial"/>
                <w:bCs/>
                <w:sz w:val="20"/>
                <w:szCs w:val="20"/>
              </w:rPr>
              <w:t xml:space="preserve">, </w:t>
            </w:r>
            <w:r>
              <w:rPr>
                <w:rFonts w:ascii="Arial Narrow" w:hAnsi="Arial Narrow" w:cs="Arial"/>
                <w:bCs/>
                <w:sz w:val="20"/>
                <w:szCs w:val="20"/>
              </w:rPr>
              <w:t xml:space="preserve">and </w:t>
            </w:r>
            <w:r w:rsidRPr="000B45F9">
              <w:rPr>
                <w:rFonts w:ascii="Arial Narrow" w:hAnsi="Arial Narrow" w:cs="Arial"/>
                <w:bCs/>
                <w:sz w:val="20"/>
                <w:szCs w:val="20"/>
              </w:rPr>
              <w:t>Adult Safeguarding: Roles and Competencies for Health Care Staff</w:t>
            </w:r>
            <w:r>
              <w:rPr>
                <w:rFonts w:ascii="Arial Narrow" w:hAnsi="Arial Narrow" w:cs="Arial"/>
                <w:bCs/>
                <w:sz w:val="20"/>
                <w:szCs w:val="20"/>
              </w:rPr>
              <w:t xml:space="preserve"> (2018).</w:t>
            </w:r>
          </w:p>
        </w:tc>
        <w:tc>
          <w:tcPr>
            <w:tcW w:w="993" w:type="dxa"/>
            <w:gridSpan w:val="2"/>
          </w:tcPr>
          <w:p w14:paraId="79EBD72B" w14:textId="77777777" w:rsidR="002B26E7" w:rsidRDefault="002B26E7" w:rsidP="004E54A6">
            <w:pPr>
              <w:spacing w:after="120"/>
              <w:rPr>
                <w:rFonts w:cs="Arial"/>
                <w:sz w:val="22"/>
              </w:rPr>
            </w:pPr>
          </w:p>
        </w:tc>
        <w:tc>
          <w:tcPr>
            <w:tcW w:w="3231" w:type="dxa"/>
            <w:gridSpan w:val="2"/>
          </w:tcPr>
          <w:p w14:paraId="67AA8E79" w14:textId="77777777" w:rsidR="002B26E7" w:rsidRDefault="002B26E7" w:rsidP="004E54A6">
            <w:pPr>
              <w:spacing w:after="120"/>
              <w:rPr>
                <w:rFonts w:cs="Arial"/>
                <w:sz w:val="22"/>
              </w:rPr>
            </w:pPr>
          </w:p>
        </w:tc>
      </w:tr>
      <w:tr w:rsidR="002B26E7" w14:paraId="29CC0BF7" w14:textId="77777777" w:rsidTr="009D5F17">
        <w:tc>
          <w:tcPr>
            <w:tcW w:w="2963" w:type="dxa"/>
            <w:vMerge/>
          </w:tcPr>
          <w:p w14:paraId="50EC8B17" w14:textId="77777777" w:rsidR="002B26E7" w:rsidRPr="005E78A3" w:rsidRDefault="002B26E7" w:rsidP="00594554">
            <w:pPr>
              <w:spacing w:after="120"/>
              <w:rPr>
                <w:rFonts w:cs="Arial"/>
                <w:b/>
                <w:sz w:val="18"/>
                <w:szCs w:val="18"/>
              </w:rPr>
            </w:pPr>
          </w:p>
        </w:tc>
        <w:tc>
          <w:tcPr>
            <w:tcW w:w="8089" w:type="dxa"/>
          </w:tcPr>
          <w:p w14:paraId="3E213D82" w14:textId="6522CAFE" w:rsidR="002B26E7" w:rsidRDefault="002B26E7" w:rsidP="004E54A6">
            <w:pPr>
              <w:spacing w:after="120"/>
              <w:rPr>
                <w:rFonts w:cs="Arial"/>
                <w:sz w:val="22"/>
              </w:rPr>
            </w:pPr>
            <w:r>
              <w:rPr>
                <w:rFonts w:ascii="Arial Narrow" w:hAnsi="Arial Narrow" w:cs="Arial"/>
                <w:bCs/>
                <w:sz w:val="20"/>
                <w:szCs w:val="20"/>
              </w:rPr>
              <w:t>2B.    The induction programme for new staff, including temporary staff or locums, includes time to read the safeguarding policies, as well as time for training on key local safeguarding procedures</w:t>
            </w:r>
            <w:r w:rsidR="001F0F9A">
              <w:rPr>
                <w:rFonts w:ascii="Arial Narrow" w:hAnsi="Arial Narrow" w:cs="Arial"/>
                <w:bCs/>
                <w:sz w:val="20"/>
                <w:szCs w:val="20"/>
              </w:rPr>
              <w:t xml:space="preserve">. </w:t>
            </w:r>
          </w:p>
        </w:tc>
        <w:tc>
          <w:tcPr>
            <w:tcW w:w="993" w:type="dxa"/>
            <w:gridSpan w:val="2"/>
          </w:tcPr>
          <w:p w14:paraId="1C416E7C" w14:textId="77777777" w:rsidR="002B26E7" w:rsidRDefault="002B26E7" w:rsidP="004E54A6">
            <w:pPr>
              <w:spacing w:after="120"/>
              <w:rPr>
                <w:rFonts w:cs="Arial"/>
                <w:sz w:val="22"/>
              </w:rPr>
            </w:pPr>
          </w:p>
        </w:tc>
        <w:tc>
          <w:tcPr>
            <w:tcW w:w="3231" w:type="dxa"/>
            <w:gridSpan w:val="2"/>
          </w:tcPr>
          <w:p w14:paraId="15383EC0" w14:textId="77777777" w:rsidR="002B26E7" w:rsidRDefault="002B26E7" w:rsidP="004E54A6">
            <w:pPr>
              <w:spacing w:after="120"/>
              <w:rPr>
                <w:rFonts w:cs="Arial"/>
                <w:sz w:val="22"/>
              </w:rPr>
            </w:pPr>
          </w:p>
        </w:tc>
      </w:tr>
      <w:tr w:rsidR="002B26E7" w14:paraId="0D07AF2C" w14:textId="77777777" w:rsidTr="007B144A">
        <w:tc>
          <w:tcPr>
            <w:tcW w:w="2963" w:type="dxa"/>
            <w:vMerge/>
          </w:tcPr>
          <w:p w14:paraId="13F3CFC3" w14:textId="77777777" w:rsidR="002B26E7" w:rsidRPr="005E78A3" w:rsidRDefault="002B26E7" w:rsidP="00594554">
            <w:pPr>
              <w:spacing w:after="120"/>
              <w:rPr>
                <w:rFonts w:cs="Arial"/>
                <w:b/>
                <w:sz w:val="18"/>
                <w:szCs w:val="18"/>
              </w:rPr>
            </w:pPr>
          </w:p>
        </w:tc>
        <w:tc>
          <w:tcPr>
            <w:tcW w:w="8089" w:type="dxa"/>
          </w:tcPr>
          <w:p w14:paraId="4C09CA34" w14:textId="6FB53C21" w:rsidR="00F76485" w:rsidRDefault="002B26E7" w:rsidP="004E54A6">
            <w:pPr>
              <w:spacing w:after="120"/>
              <w:rPr>
                <w:rFonts w:cs="Arial"/>
                <w:sz w:val="22"/>
              </w:rPr>
            </w:pPr>
            <w:r>
              <w:rPr>
                <w:rFonts w:ascii="Arial Narrow" w:hAnsi="Arial Narrow" w:cs="Arial"/>
                <w:bCs/>
                <w:sz w:val="20"/>
                <w:szCs w:val="20"/>
              </w:rPr>
              <w:t xml:space="preserve">2C     </w:t>
            </w:r>
            <w:r>
              <w:rPr>
                <w:rFonts w:ascii="Arial Narrow" w:hAnsi="Arial Narrow" w:cs="Arial"/>
                <w:sz w:val="20"/>
                <w:szCs w:val="20"/>
              </w:rPr>
              <w:t>The Practice has a</w:t>
            </w:r>
            <w:r w:rsidR="00422C78">
              <w:rPr>
                <w:rFonts w:ascii="Arial Narrow" w:hAnsi="Arial Narrow" w:cs="Arial"/>
                <w:sz w:val="20"/>
                <w:szCs w:val="20"/>
              </w:rPr>
              <w:t xml:space="preserve"> patient safety incident reporting system in place and </w:t>
            </w:r>
            <w:r w:rsidR="00555D40">
              <w:rPr>
                <w:rFonts w:ascii="Arial Narrow" w:hAnsi="Arial Narrow" w:cs="Arial"/>
                <w:sz w:val="20"/>
                <w:szCs w:val="20"/>
              </w:rPr>
              <w:t>a process</w:t>
            </w:r>
            <w:r>
              <w:rPr>
                <w:rFonts w:ascii="Arial Narrow" w:hAnsi="Arial Narrow" w:cs="Arial"/>
                <w:sz w:val="20"/>
                <w:szCs w:val="20"/>
              </w:rPr>
              <w:t xml:space="preserve"> in place for disseminating </w:t>
            </w:r>
            <w:r w:rsidR="00422C78">
              <w:rPr>
                <w:rFonts w:ascii="Arial Narrow" w:hAnsi="Arial Narrow" w:cs="Arial"/>
                <w:sz w:val="20"/>
                <w:szCs w:val="20"/>
              </w:rPr>
              <w:t>learning/</w:t>
            </w:r>
            <w:r>
              <w:rPr>
                <w:rFonts w:ascii="Arial Narrow" w:hAnsi="Arial Narrow" w:cs="Arial"/>
                <w:sz w:val="20"/>
                <w:szCs w:val="20"/>
              </w:rPr>
              <w:t>changes in safeguarding practice and learning from safeguarding incidents, local safeguarding Case Reviews</w:t>
            </w:r>
            <w:r w:rsidRPr="003836CE">
              <w:rPr>
                <w:rFonts w:ascii="Arial Narrow" w:hAnsi="Arial Narrow" w:cs="Arial"/>
                <w:sz w:val="20"/>
                <w:szCs w:val="20"/>
              </w:rPr>
              <w:t>, DHR's</w:t>
            </w:r>
            <w:r>
              <w:rPr>
                <w:rFonts w:ascii="Arial Narrow" w:hAnsi="Arial Narrow" w:cs="Arial"/>
                <w:sz w:val="20"/>
                <w:szCs w:val="20"/>
              </w:rPr>
              <w:t xml:space="preserve"> and safeguarding audits, and embedding the same in Practice processes.</w:t>
            </w:r>
          </w:p>
        </w:tc>
        <w:tc>
          <w:tcPr>
            <w:tcW w:w="993" w:type="dxa"/>
            <w:gridSpan w:val="2"/>
          </w:tcPr>
          <w:p w14:paraId="2E9F07C8" w14:textId="77777777" w:rsidR="002B26E7" w:rsidRDefault="002B26E7" w:rsidP="004E54A6">
            <w:pPr>
              <w:spacing w:after="120"/>
              <w:rPr>
                <w:rFonts w:cs="Arial"/>
                <w:sz w:val="22"/>
              </w:rPr>
            </w:pPr>
          </w:p>
        </w:tc>
        <w:tc>
          <w:tcPr>
            <w:tcW w:w="3231" w:type="dxa"/>
            <w:gridSpan w:val="2"/>
          </w:tcPr>
          <w:p w14:paraId="25FA43CC" w14:textId="77777777" w:rsidR="002B26E7" w:rsidRDefault="002B26E7" w:rsidP="004E54A6">
            <w:pPr>
              <w:spacing w:after="120"/>
              <w:rPr>
                <w:rFonts w:cs="Arial"/>
                <w:sz w:val="22"/>
              </w:rPr>
            </w:pPr>
          </w:p>
        </w:tc>
      </w:tr>
      <w:tr w:rsidR="00504AEB" w14:paraId="4589D188" w14:textId="77777777" w:rsidTr="00F25A1C">
        <w:tc>
          <w:tcPr>
            <w:tcW w:w="15276" w:type="dxa"/>
            <w:gridSpan w:val="6"/>
            <w:shd w:val="clear" w:color="auto" w:fill="DBE5F1" w:themeFill="accent1" w:themeFillTint="33"/>
          </w:tcPr>
          <w:p w14:paraId="7AD7D817" w14:textId="77777777" w:rsidR="00375FE7" w:rsidRPr="00F25A1C" w:rsidRDefault="007F2B50" w:rsidP="00FA679E">
            <w:pPr>
              <w:widowControl w:val="0"/>
              <w:spacing w:line="256" w:lineRule="auto"/>
              <w:ind w:right="25"/>
              <w:jc w:val="center"/>
              <w:rPr>
                <w:rFonts w:cs="Arial"/>
                <w:b/>
                <w:sz w:val="28"/>
                <w:szCs w:val="28"/>
              </w:rPr>
            </w:pPr>
            <w:r>
              <w:rPr>
                <w:rFonts w:cs="Arial"/>
                <w:b/>
              </w:rPr>
              <w:lastRenderedPageBreak/>
              <w:t>P</w:t>
            </w:r>
            <w:r w:rsidRPr="00706902">
              <w:rPr>
                <w:rFonts w:cs="Arial"/>
                <w:b/>
              </w:rPr>
              <w:t>olicies</w:t>
            </w:r>
            <w:r>
              <w:rPr>
                <w:rFonts w:cs="Arial"/>
                <w:b/>
              </w:rPr>
              <w:t>, Procedures, S</w:t>
            </w:r>
            <w:r w:rsidRPr="00706902">
              <w:rPr>
                <w:rFonts w:cs="Arial"/>
                <w:b/>
              </w:rPr>
              <w:t>ystems</w:t>
            </w:r>
            <w:r>
              <w:rPr>
                <w:rFonts w:cs="Arial"/>
                <w:b/>
              </w:rPr>
              <w:t xml:space="preserve"> and Governance processes</w:t>
            </w:r>
          </w:p>
        </w:tc>
      </w:tr>
      <w:tr w:rsidR="002B26E7" w14:paraId="58C3AFF9" w14:textId="77777777" w:rsidTr="008833AD">
        <w:tc>
          <w:tcPr>
            <w:tcW w:w="2963" w:type="dxa"/>
            <w:shd w:val="clear" w:color="auto" w:fill="B8CCE4" w:themeFill="accent1" w:themeFillTint="66"/>
          </w:tcPr>
          <w:p w14:paraId="53382CE4" w14:textId="77777777" w:rsidR="002B26E7" w:rsidRPr="00E31C38" w:rsidRDefault="002B26E7" w:rsidP="00783F97">
            <w:pPr>
              <w:spacing w:after="120"/>
              <w:jc w:val="center"/>
              <w:rPr>
                <w:rFonts w:cs="Arial"/>
                <w:b/>
                <w:sz w:val="22"/>
              </w:rPr>
            </w:pPr>
            <w:r w:rsidRPr="00C636CB">
              <w:rPr>
                <w:rFonts w:cs="Arial"/>
                <w:b/>
                <w:color w:val="FF0000"/>
                <w:sz w:val="22"/>
              </w:rPr>
              <w:t>Overarching Standard</w:t>
            </w:r>
          </w:p>
        </w:tc>
        <w:tc>
          <w:tcPr>
            <w:tcW w:w="8089" w:type="dxa"/>
            <w:shd w:val="clear" w:color="auto" w:fill="B8CCE4" w:themeFill="accent1" w:themeFillTint="66"/>
          </w:tcPr>
          <w:p w14:paraId="7202DF4B" w14:textId="77777777" w:rsidR="002B26E7" w:rsidRPr="00E31C38" w:rsidRDefault="002B26E7" w:rsidP="00783F97">
            <w:pPr>
              <w:spacing w:after="120"/>
              <w:jc w:val="center"/>
              <w:rPr>
                <w:rFonts w:cs="Arial"/>
                <w:b/>
                <w:sz w:val="22"/>
              </w:rPr>
            </w:pPr>
            <w:r w:rsidRPr="00E31C38">
              <w:rPr>
                <w:rFonts w:cs="Arial"/>
                <w:b/>
                <w:sz w:val="22"/>
              </w:rPr>
              <w:t>Components of standard</w:t>
            </w:r>
          </w:p>
          <w:p w14:paraId="421FA967" w14:textId="0D492B46" w:rsidR="002B26E7" w:rsidRPr="00597038" w:rsidRDefault="002B26E7" w:rsidP="00783F97">
            <w:pPr>
              <w:spacing w:before="120" w:after="120"/>
              <w:jc w:val="center"/>
              <w:rPr>
                <w:rFonts w:cs="Arial"/>
                <w:b/>
                <w:sz w:val="18"/>
                <w:szCs w:val="18"/>
              </w:rPr>
            </w:pPr>
          </w:p>
        </w:tc>
        <w:tc>
          <w:tcPr>
            <w:tcW w:w="993" w:type="dxa"/>
            <w:gridSpan w:val="2"/>
            <w:shd w:val="clear" w:color="auto" w:fill="B8CCE4" w:themeFill="accent1" w:themeFillTint="66"/>
          </w:tcPr>
          <w:p w14:paraId="53B2AC02" w14:textId="77777777" w:rsidR="002B26E7" w:rsidRPr="00E31C38" w:rsidRDefault="002B26E7" w:rsidP="00783F97">
            <w:pPr>
              <w:spacing w:after="120"/>
              <w:jc w:val="center"/>
              <w:rPr>
                <w:rFonts w:cs="Arial"/>
                <w:b/>
                <w:sz w:val="22"/>
              </w:rPr>
            </w:pPr>
            <w:r w:rsidRPr="00E31C38">
              <w:rPr>
                <w:rFonts w:cs="Arial"/>
                <w:b/>
                <w:sz w:val="22"/>
              </w:rPr>
              <w:t>Rag Rating</w:t>
            </w:r>
          </w:p>
        </w:tc>
        <w:tc>
          <w:tcPr>
            <w:tcW w:w="3231" w:type="dxa"/>
            <w:gridSpan w:val="2"/>
            <w:shd w:val="clear" w:color="auto" w:fill="B8CCE4" w:themeFill="accent1" w:themeFillTint="66"/>
          </w:tcPr>
          <w:p w14:paraId="087DAF88" w14:textId="77777777" w:rsidR="002B26E7" w:rsidRPr="00E31C38" w:rsidRDefault="002B26E7" w:rsidP="00783F97">
            <w:pPr>
              <w:spacing w:after="120"/>
              <w:jc w:val="center"/>
              <w:rPr>
                <w:rFonts w:cs="Arial"/>
                <w:b/>
                <w:sz w:val="22"/>
              </w:rPr>
            </w:pPr>
            <w:r w:rsidRPr="00E31C38">
              <w:rPr>
                <w:rFonts w:cs="Arial"/>
                <w:b/>
                <w:sz w:val="22"/>
              </w:rPr>
              <w:t>Comments/actions</w:t>
            </w:r>
            <w:r>
              <w:rPr>
                <w:rFonts w:cs="Arial"/>
                <w:b/>
                <w:sz w:val="22"/>
              </w:rPr>
              <w:t xml:space="preserve"> by the organisation to address any areas of amber/red</w:t>
            </w:r>
          </w:p>
        </w:tc>
      </w:tr>
      <w:tr w:rsidR="002B26E7" w14:paraId="0C811E00" w14:textId="77777777" w:rsidTr="0034079C">
        <w:tc>
          <w:tcPr>
            <w:tcW w:w="2963" w:type="dxa"/>
            <w:vMerge w:val="restart"/>
          </w:tcPr>
          <w:p w14:paraId="6642CCCE" w14:textId="777F34F7" w:rsidR="002B26E7" w:rsidRPr="002975BA" w:rsidRDefault="002B26E7" w:rsidP="003E512C">
            <w:pPr>
              <w:spacing w:after="120"/>
              <w:ind w:left="426" w:hanging="426"/>
              <w:rPr>
                <w:rFonts w:eastAsia="Arial" w:cs="Arial"/>
                <w:b/>
                <w:sz w:val="22"/>
              </w:rPr>
            </w:pPr>
            <w:r>
              <w:rPr>
                <w:rFonts w:eastAsia="Arial" w:cs="Arial"/>
                <w:sz w:val="22"/>
              </w:rPr>
              <w:t xml:space="preserve">3.0 </w:t>
            </w:r>
            <w:r>
              <w:rPr>
                <w:rFonts w:eastAsia="Arial" w:cs="Arial"/>
                <w:b/>
                <w:sz w:val="22"/>
              </w:rPr>
              <w:t>The Practice have accessible safeguarding and related policies and related procedures in place that identified and defines staff responsibilities including actions that must be taken</w:t>
            </w:r>
          </w:p>
        </w:tc>
        <w:tc>
          <w:tcPr>
            <w:tcW w:w="8089" w:type="dxa"/>
          </w:tcPr>
          <w:p w14:paraId="4E335C1F" w14:textId="77777777" w:rsidR="00833D84" w:rsidRDefault="002B26E7" w:rsidP="00833D84">
            <w:pPr>
              <w:rPr>
                <w:rFonts w:ascii="Arial Narrow" w:hAnsi="Arial Narrow" w:cs="Arial"/>
                <w:sz w:val="20"/>
                <w:szCs w:val="20"/>
                <w:lang w:val="en-US"/>
              </w:rPr>
            </w:pPr>
            <w:r>
              <w:rPr>
                <w:rFonts w:ascii="Arial Narrow" w:hAnsi="Arial Narrow" w:cs="Arial"/>
                <w:sz w:val="20"/>
                <w:szCs w:val="20"/>
              </w:rPr>
              <w:t>3A.    All Practice staff ha</w:t>
            </w:r>
            <w:r w:rsidR="002A7E60">
              <w:rPr>
                <w:rFonts w:ascii="Arial Narrow" w:hAnsi="Arial Narrow" w:cs="Arial"/>
                <w:sz w:val="20"/>
                <w:szCs w:val="20"/>
              </w:rPr>
              <w:t>ve</w:t>
            </w:r>
            <w:r w:rsidRPr="00F225E6">
              <w:rPr>
                <w:rFonts w:ascii="Arial Narrow" w:hAnsi="Arial Narrow" w:cs="Arial"/>
                <w:sz w:val="20"/>
                <w:szCs w:val="20"/>
              </w:rPr>
              <w:t xml:space="preserve"> access to </w:t>
            </w:r>
            <w:r>
              <w:rPr>
                <w:rFonts w:ascii="Arial Narrow" w:hAnsi="Arial Narrow" w:cs="Arial"/>
                <w:sz w:val="20"/>
                <w:szCs w:val="20"/>
              </w:rPr>
              <w:t xml:space="preserve">comprehensive </w:t>
            </w:r>
            <w:r w:rsidRPr="00F225E6">
              <w:rPr>
                <w:rFonts w:ascii="Arial Narrow" w:hAnsi="Arial Narrow" w:cs="Arial"/>
                <w:sz w:val="20"/>
                <w:szCs w:val="20"/>
              </w:rPr>
              <w:t xml:space="preserve">safeguarding policies </w:t>
            </w:r>
            <w:r>
              <w:rPr>
                <w:rFonts w:ascii="Arial Narrow" w:hAnsi="Arial Narrow" w:cs="Arial"/>
                <w:sz w:val="20"/>
                <w:szCs w:val="20"/>
              </w:rPr>
              <w:t>and procedure</w:t>
            </w:r>
            <w:r w:rsidR="00701CAB">
              <w:rPr>
                <w:rFonts w:ascii="Arial Narrow" w:hAnsi="Arial Narrow" w:cs="Arial"/>
                <w:sz w:val="20"/>
                <w:szCs w:val="20"/>
              </w:rPr>
              <w:t>s</w:t>
            </w:r>
            <w:r>
              <w:rPr>
                <w:rFonts w:ascii="Arial Narrow" w:hAnsi="Arial Narrow" w:cs="Arial"/>
                <w:sz w:val="20"/>
                <w:szCs w:val="20"/>
              </w:rPr>
              <w:t xml:space="preserve"> </w:t>
            </w:r>
            <w:r w:rsidRPr="00F225E6">
              <w:rPr>
                <w:rFonts w:ascii="Arial Narrow" w:hAnsi="Arial Narrow" w:cs="Arial"/>
                <w:sz w:val="20"/>
                <w:szCs w:val="20"/>
              </w:rPr>
              <w:t xml:space="preserve">for </w:t>
            </w:r>
            <w:r>
              <w:rPr>
                <w:rFonts w:ascii="Arial Narrow" w:hAnsi="Arial Narrow" w:cs="Arial"/>
                <w:sz w:val="20"/>
                <w:szCs w:val="20"/>
              </w:rPr>
              <w:t>safeguarding (children and adults</w:t>
            </w:r>
            <w:r w:rsidR="002A7E60">
              <w:rPr>
                <w:rFonts w:ascii="Arial Narrow" w:hAnsi="Arial Narrow" w:cs="Arial"/>
                <w:sz w:val="20"/>
                <w:szCs w:val="20"/>
              </w:rPr>
              <w:t xml:space="preserve">). </w:t>
            </w:r>
            <w:r w:rsidR="00833D84">
              <w:rPr>
                <w:rFonts w:ascii="Arial Narrow" w:hAnsi="Arial Narrow" w:cs="Arial"/>
                <w:sz w:val="20"/>
                <w:szCs w:val="20"/>
              </w:rPr>
              <w:t xml:space="preserve">The policies should up to date and consistent with statutory &amp; multi-agency guidance and include links to local Safeguarding Children Partnerships and Safeguarding Adults Boards procedures. </w:t>
            </w:r>
          </w:p>
          <w:p w14:paraId="12FB683A" w14:textId="77777777" w:rsidR="00833D84" w:rsidRDefault="00833D84" w:rsidP="00555D40">
            <w:pPr>
              <w:rPr>
                <w:rFonts w:ascii="Arial Narrow" w:hAnsi="Arial Narrow" w:cs="Arial"/>
                <w:sz w:val="20"/>
                <w:szCs w:val="20"/>
                <w:lang w:val="en-US"/>
              </w:rPr>
            </w:pPr>
          </w:p>
          <w:p w14:paraId="223CE1F4" w14:textId="14B51D38" w:rsidR="00CB1950" w:rsidRDefault="00701CAB" w:rsidP="00555D40">
            <w:pPr>
              <w:rPr>
                <w:rFonts w:ascii="Arial Narrow" w:hAnsi="Arial Narrow" w:cs="Arial"/>
                <w:sz w:val="20"/>
                <w:szCs w:val="20"/>
                <w:lang w:val="en-US"/>
              </w:rPr>
            </w:pPr>
            <w:r w:rsidRPr="00701CAB">
              <w:rPr>
                <w:rFonts w:ascii="Arial Narrow" w:hAnsi="Arial Narrow" w:cs="Arial"/>
                <w:sz w:val="20"/>
                <w:szCs w:val="20"/>
                <w:lang w:val="en-US"/>
              </w:rPr>
              <w:t>All staff members are aware of</w:t>
            </w:r>
            <w:r w:rsidR="00833D84">
              <w:rPr>
                <w:rFonts w:ascii="Arial Narrow" w:hAnsi="Arial Narrow" w:cs="Arial"/>
                <w:sz w:val="20"/>
                <w:szCs w:val="20"/>
                <w:lang w:val="en-US"/>
              </w:rPr>
              <w:t>:</w:t>
            </w:r>
          </w:p>
          <w:p w14:paraId="45F7A7E3" w14:textId="1924F4E5" w:rsidR="00833D84" w:rsidRPr="00CB1950" w:rsidRDefault="00701CAB" w:rsidP="00CB1950">
            <w:pPr>
              <w:pStyle w:val="ListParagraph"/>
              <w:numPr>
                <w:ilvl w:val="0"/>
                <w:numId w:val="41"/>
              </w:numPr>
              <w:rPr>
                <w:rFonts w:ascii="Arial Narrow" w:hAnsi="Arial Narrow" w:cs="Arial"/>
                <w:sz w:val="20"/>
                <w:szCs w:val="20"/>
                <w:lang w:val="en-US"/>
              </w:rPr>
            </w:pPr>
            <w:r w:rsidRPr="00CB1950">
              <w:rPr>
                <w:rFonts w:ascii="Arial Narrow" w:hAnsi="Arial Narrow" w:cs="Arial"/>
                <w:sz w:val="20"/>
                <w:szCs w:val="20"/>
                <w:lang w:val="en-US"/>
              </w:rPr>
              <w:t>how to act on concerns that a child or an adult at risk may have been abused, or as it as risk of abuse or neglect</w:t>
            </w:r>
          </w:p>
          <w:p w14:paraId="2D3AB556" w14:textId="1D80A40B" w:rsidR="00833D84" w:rsidRPr="00CB1950" w:rsidRDefault="00701CAB" w:rsidP="00CB1950">
            <w:pPr>
              <w:pStyle w:val="ListParagraph"/>
              <w:numPr>
                <w:ilvl w:val="0"/>
                <w:numId w:val="41"/>
              </w:numPr>
              <w:rPr>
                <w:rFonts w:ascii="Arial Narrow" w:hAnsi="Arial Narrow" w:cs="Arial"/>
                <w:sz w:val="20"/>
                <w:szCs w:val="20"/>
                <w:lang w:val="en-US"/>
              </w:rPr>
            </w:pPr>
            <w:r w:rsidRPr="00CB1950">
              <w:rPr>
                <w:rFonts w:ascii="Arial Narrow" w:hAnsi="Arial Narrow" w:cs="Arial"/>
                <w:sz w:val="20"/>
                <w:szCs w:val="20"/>
                <w:lang w:val="en-US"/>
              </w:rPr>
              <w:t xml:space="preserve">how to escalate concerns </w:t>
            </w:r>
          </w:p>
          <w:p w14:paraId="4987A3E6" w14:textId="08BBDD86" w:rsidR="00701CAB" w:rsidRPr="00CB1950" w:rsidRDefault="00833D84" w:rsidP="00CB1950">
            <w:pPr>
              <w:pStyle w:val="ListParagraph"/>
              <w:numPr>
                <w:ilvl w:val="0"/>
                <w:numId w:val="41"/>
              </w:numPr>
              <w:rPr>
                <w:rFonts w:ascii="Arial Narrow" w:hAnsi="Arial Narrow" w:cs="Arial"/>
                <w:sz w:val="20"/>
                <w:szCs w:val="20"/>
                <w:lang w:val="en-US"/>
              </w:rPr>
            </w:pPr>
            <w:r w:rsidRPr="00CB1950">
              <w:rPr>
                <w:rFonts w:ascii="Arial Narrow" w:hAnsi="Arial Narrow" w:cs="Arial"/>
                <w:sz w:val="20"/>
                <w:szCs w:val="20"/>
                <w:lang w:val="en-US"/>
              </w:rPr>
              <w:t>how to a</w:t>
            </w:r>
            <w:r w:rsidR="00701CAB" w:rsidRPr="00CB1950">
              <w:rPr>
                <w:rFonts w:ascii="Arial Narrow" w:hAnsi="Arial Narrow" w:cs="Arial"/>
                <w:sz w:val="20"/>
                <w:szCs w:val="20"/>
                <w:lang w:val="en-US"/>
              </w:rPr>
              <w:t>ccess support and advice in line with the practice safeguarding policies.</w:t>
            </w:r>
          </w:p>
          <w:p w14:paraId="61594E13" w14:textId="77777777" w:rsidR="00701CAB" w:rsidRDefault="00701CAB" w:rsidP="00555D40">
            <w:pPr>
              <w:rPr>
                <w:rFonts w:ascii="Arial Narrow" w:hAnsi="Arial Narrow" w:cs="Arial"/>
                <w:sz w:val="20"/>
                <w:szCs w:val="20"/>
                <w:lang w:val="en-US"/>
              </w:rPr>
            </w:pPr>
          </w:p>
          <w:p w14:paraId="489FE8EA" w14:textId="0E75DBE3" w:rsidR="002B26E7" w:rsidRPr="00E31C38" w:rsidRDefault="002B26E7" w:rsidP="00555D40">
            <w:pPr>
              <w:rPr>
                <w:rFonts w:cs="Arial"/>
                <w:b/>
                <w:sz w:val="22"/>
              </w:rPr>
            </w:pPr>
          </w:p>
        </w:tc>
        <w:tc>
          <w:tcPr>
            <w:tcW w:w="993" w:type="dxa"/>
            <w:gridSpan w:val="2"/>
          </w:tcPr>
          <w:p w14:paraId="39B7280F" w14:textId="77777777" w:rsidR="002B26E7" w:rsidRPr="00E31C38" w:rsidRDefault="002B26E7" w:rsidP="00783F97">
            <w:pPr>
              <w:spacing w:after="120"/>
              <w:jc w:val="center"/>
              <w:rPr>
                <w:rFonts w:cs="Arial"/>
                <w:b/>
                <w:sz w:val="22"/>
              </w:rPr>
            </w:pPr>
          </w:p>
        </w:tc>
        <w:tc>
          <w:tcPr>
            <w:tcW w:w="3231" w:type="dxa"/>
            <w:gridSpan w:val="2"/>
          </w:tcPr>
          <w:p w14:paraId="42889321" w14:textId="77777777" w:rsidR="002B26E7" w:rsidRPr="00E31C38" w:rsidRDefault="002B26E7" w:rsidP="00783F97">
            <w:pPr>
              <w:spacing w:after="120"/>
              <w:jc w:val="center"/>
              <w:rPr>
                <w:rFonts w:cs="Arial"/>
                <w:b/>
                <w:sz w:val="22"/>
              </w:rPr>
            </w:pPr>
          </w:p>
        </w:tc>
      </w:tr>
      <w:tr w:rsidR="002B26E7" w14:paraId="03192313" w14:textId="77777777" w:rsidTr="000F0AB4">
        <w:tc>
          <w:tcPr>
            <w:tcW w:w="2963" w:type="dxa"/>
            <w:vMerge/>
          </w:tcPr>
          <w:p w14:paraId="7EC324B3" w14:textId="77777777" w:rsidR="002B26E7" w:rsidRPr="005E78A3" w:rsidRDefault="002B26E7" w:rsidP="005E480A">
            <w:pPr>
              <w:spacing w:after="120"/>
              <w:ind w:right="17"/>
              <w:rPr>
                <w:rFonts w:cs="Arial"/>
                <w:b/>
                <w:sz w:val="18"/>
                <w:szCs w:val="18"/>
              </w:rPr>
            </w:pPr>
          </w:p>
        </w:tc>
        <w:tc>
          <w:tcPr>
            <w:tcW w:w="8089" w:type="dxa"/>
          </w:tcPr>
          <w:p w14:paraId="513A067D" w14:textId="68500676" w:rsidR="002B26E7" w:rsidRDefault="002B26E7" w:rsidP="00555D40">
            <w:pPr>
              <w:rPr>
                <w:rFonts w:ascii="Arial Narrow" w:hAnsi="Arial Narrow" w:cs="Arial"/>
                <w:sz w:val="20"/>
                <w:szCs w:val="20"/>
              </w:rPr>
            </w:pPr>
            <w:r>
              <w:rPr>
                <w:rFonts w:ascii="Arial Narrow" w:hAnsi="Arial Narrow" w:cs="Arial"/>
                <w:sz w:val="20"/>
                <w:szCs w:val="20"/>
              </w:rPr>
              <w:t xml:space="preserve">3B     There is a </w:t>
            </w:r>
            <w:r w:rsidRPr="00F4733B">
              <w:rPr>
                <w:rFonts w:ascii="Arial Narrow" w:hAnsi="Arial Narrow" w:cs="Arial"/>
                <w:sz w:val="20"/>
                <w:szCs w:val="20"/>
              </w:rPr>
              <w:t xml:space="preserve">clear procedure in place for undertaking, </w:t>
            </w:r>
            <w:proofErr w:type="gramStart"/>
            <w:r w:rsidRPr="00F4733B">
              <w:rPr>
                <w:rFonts w:ascii="Arial Narrow" w:hAnsi="Arial Narrow" w:cs="Arial"/>
                <w:sz w:val="20"/>
                <w:szCs w:val="20"/>
              </w:rPr>
              <w:t>documenting</w:t>
            </w:r>
            <w:proofErr w:type="gramEnd"/>
            <w:r w:rsidRPr="00F4733B">
              <w:rPr>
                <w:rFonts w:ascii="Arial Narrow" w:hAnsi="Arial Narrow" w:cs="Arial"/>
                <w:sz w:val="20"/>
                <w:szCs w:val="20"/>
              </w:rPr>
              <w:t xml:space="preserve"> and reviewing mental capacit</w:t>
            </w:r>
            <w:r>
              <w:rPr>
                <w:rFonts w:ascii="Arial Narrow" w:hAnsi="Arial Narrow" w:cs="Arial"/>
                <w:sz w:val="20"/>
                <w:szCs w:val="20"/>
              </w:rPr>
              <w:t xml:space="preserve">y and best interest assessments and assures itself that that staff understand their responsibilities and adhere to the Mental Capacity Act </w:t>
            </w:r>
            <w:r w:rsidR="00AB7776">
              <w:rPr>
                <w:rFonts w:ascii="Arial Narrow" w:hAnsi="Arial Narrow" w:cs="Arial"/>
                <w:sz w:val="20"/>
                <w:szCs w:val="20"/>
              </w:rPr>
              <w:t xml:space="preserve">(2005) </w:t>
            </w:r>
            <w:r>
              <w:rPr>
                <w:rFonts w:ascii="Arial Narrow" w:hAnsi="Arial Narrow" w:cs="Arial"/>
                <w:sz w:val="20"/>
                <w:szCs w:val="20"/>
              </w:rPr>
              <w:t>requirements</w:t>
            </w:r>
            <w:r w:rsidR="002A7E60">
              <w:rPr>
                <w:rFonts w:ascii="Arial Narrow" w:hAnsi="Arial Narrow" w:cs="Arial"/>
                <w:sz w:val="20"/>
                <w:szCs w:val="20"/>
              </w:rPr>
              <w:t>.</w:t>
            </w:r>
          </w:p>
          <w:p w14:paraId="56AA942E" w14:textId="6C77F68A" w:rsidR="00F53B91" w:rsidRPr="00E31C38" w:rsidRDefault="00F53B91" w:rsidP="00555D40">
            <w:pPr>
              <w:rPr>
                <w:rFonts w:cs="Arial"/>
                <w:b/>
                <w:sz w:val="22"/>
              </w:rPr>
            </w:pPr>
          </w:p>
        </w:tc>
        <w:tc>
          <w:tcPr>
            <w:tcW w:w="993" w:type="dxa"/>
            <w:gridSpan w:val="2"/>
          </w:tcPr>
          <w:p w14:paraId="69038911" w14:textId="77777777" w:rsidR="002B26E7" w:rsidRPr="00E31C38" w:rsidRDefault="002B26E7" w:rsidP="00783F97">
            <w:pPr>
              <w:spacing w:after="120"/>
              <w:jc w:val="center"/>
              <w:rPr>
                <w:rFonts w:cs="Arial"/>
                <w:b/>
                <w:sz w:val="22"/>
              </w:rPr>
            </w:pPr>
          </w:p>
        </w:tc>
        <w:tc>
          <w:tcPr>
            <w:tcW w:w="3231" w:type="dxa"/>
            <w:gridSpan w:val="2"/>
          </w:tcPr>
          <w:p w14:paraId="47AE41A5" w14:textId="77777777" w:rsidR="002B26E7" w:rsidRPr="00E31C38" w:rsidRDefault="002B26E7" w:rsidP="00783F97">
            <w:pPr>
              <w:spacing w:after="120"/>
              <w:jc w:val="center"/>
              <w:rPr>
                <w:rFonts w:cs="Arial"/>
                <w:b/>
                <w:sz w:val="22"/>
              </w:rPr>
            </w:pPr>
          </w:p>
        </w:tc>
      </w:tr>
      <w:tr w:rsidR="002B26E7" w14:paraId="5AE32A43" w14:textId="77777777" w:rsidTr="008836E5">
        <w:tc>
          <w:tcPr>
            <w:tcW w:w="2963" w:type="dxa"/>
            <w:vMerge/>
          </w:tcPr>
          <w:p w14:paraId="4622DF50" w14:textId="77777777" w:rsidR="002B26E7" w:rsidRPr="005E78A3" w:rsidRDefault="002B26E7" w:rsidP="005E480A">
            <w:pPr>
              <w:spacing w:after="120"/>
              <w:ind w:right="17"/>
              <w:rPr>
                <w:rFonts w:cs="Arial"/>
                <w:b/>
                <w:sz w:val="18"/>
                <w:szCs w:val="18"/>
              </w:rPr>
            </w:pPr>
          </w:p>
        </w:tc>
        <w:tc>
          <w:tcPr>
            <w:tcW w:w="8089" w:type="dxa"/>
          </w:tcPr>
          <w:p w14:paraId="403C56CC" w14:textId="77777777" w:rsidR="002B26E7" w:rsidRDefault="002B26E7" w:rsidP="002A7E60">
            <w:pPr>
              <w:rPr>
                <w:rFonts w:ascii="Arial Narrow" w:hAnsi="Arial Narrow"/>
                <w:sz w:val="20"/>
                <w:szCs w:val="20"/>
              </w:rPr>
            </w:pPr>
            <w:r>
              <w:rPr>
                <w:rFonts w:ascii="Arial Narrow" w:hAnsi="Arial Narrow" w:cs="Arial"/>
                <w:sz w:val="20"/>
                <w:szCs w:val="20"/>
              </w:rPr>
              <w:t>3C.   The practice has a Domestic Abuse Policy</w:t>
            </w:r>
            <w:r w:rsidR="005C70FE">
              <w:rPr>
                <w:rFonts w:ascii="Arial Narrow" w:hAnsi="Arial Narrow" w:cs="Arial"/>
                <w:sz w:val="20"/>
                <w:szCs w:val="20"/>
              </w:rPr>
              <w:t xml:space="preserve"> which includes information on local Domestic abuse services</w:t>
            </w:r>
            <w:r>
              <w:rPr>
                <w:rFonts w:ascii="Arial Narrow" w:hAnsi="Arial Narrow" w:cs="Arial"/>
                <w:sz w:val="20"/>
                <w:szCs w:val="20"/>
              </w:rPr>
              <w:t xml:space="preserve">. </w:t>
            </w:r>
            <w:r w:rsidRPr="00F06A1C">
              <w:rPr>
                <w:rFonts w:ascii="Arial Narrow" w:hAnsi="Arial Narrow"/>
                <w:sz w:val="20"/>
                <w:szCs w:val="20"/>
              </w:rPr>
              <w:t xml:space="preserve">All staff have an awareness of domestic abuse and clinical staff </w:t>
            </w:r>
            <w:proofErr w:type="gramStart"/>
            <w:r w:rsidRPr="00F06A1C">
              <w:rPr>
                <w:rFonts w:ascii="Arial Narrow" w:hAnsi="Arial Narrow"/>
                <w:sz w:val="20"/>
                <w:szCs w:val="20"/>
              </w:rPr>
              <w:t>have an understanding of</w:t>
            </w:r>
            <w:proofErr w:type="gramEnd"/>
            <w:r w:rsidRPr="00F06A1C">
              <w:rPr>
                <w:rFonts w:ascii="Arial Narrow" w:hAnsi="Arial Narrow"/>
                <w:sz w:val="20"/>
                <w:szCs w:val="20"/>
              </w:rPr>
              <w:t xml:space="preserve"> the indicators of domestic abuse and</w:t>
            </w:r>
            <w:r w:rsidR="002A7E60">
              <w:rPr>
                <w:rFonts w:ascii="Arial Narrow" w:hAnsi="Arial Narrow"/>
                <w:sz w:val="20"/>
                <w:szCs w:val="20"/>
              </w:rPr>
              <w:t xml:space="preserve"> use targeted/clinical enquiry when safe to do so</w:t>
            </w:r>
            <w:r w:rsidR="00555D40">
              <w:rPr>
                <w:rFonts w:ascii="Arial Narrow" w:hAnsi="Arial Narrow"/>
                <w:sz w:val="20"/>
                <w:szCs w:val="20"/>
              </w:rPr>
              <w:t>.</w:t>
            </w:r>
            <w:r w:rsidRPr="00F06A1C">
              <w:rPr>
                <w:rFonts w:ascii="Arial Narrow" w:hAnsi="Arial Narrow"/>
                <w:sz w:val="20"/>
                <w:szCs w:val="20"/>
              </w:rPr>
              <w:t xml:space="preserve"> </w:t>
            </w:r>
            <w:r w:rsidR="00701CAB">
              <w:rPr>
                <w:rFonts w:ascii="Arial Narrow" w:hAnsi="Arial Narrow"/>
                <w:sz w:val="20"/>
                <w:szCs w:val="20"/>
              </w:rPr>
              <w:t xml:space="preserve"> Practice </w:t>
            </w:r>
            <w:r w:rsidRPr="00F06A1C">
              <w:rPr>
                <w:rFonts w:ascii="Arial Narrow" w:hAnsi="Arial Narrow"/>
                <w:sz w:val="20"/>
                <w:szCs w:val="20"/>
              </w:rPr>
              <w:t xml:space="preserve">staff know where to signpost </w:t>
            </w:r>
            <w:r w:rsidR="00701CAB">
              <w:rPr>
                <w:rFonts w:ascii="Arial Narrow" w:hAnsi="Arial Narrow"/>
                <w:sz w:val="20"/>
                <w:szCs w:val="20"/>
              </w:rPr>
              <w:t xml:space="preserve">individuals for domestic abuse support </w:t>
            </w:r>
            <w:r w:rsidR="002A7E60">
              <w:rPr>
                <w:rFonts w:ascii="Arial Narrow" w:hAnsi="Arial Narrow"/>
                <w:sz w:val="20"/>
                <w:szCs w:val="20"/>
              </w:rPr>
              <w:t>and refer for safeguarding if appropriate</w:t>
            </w:r>
            <w:r w:rsidR="00701CAB">
              <w:rPr>
                <w:rFonts w:ascii="Arial Narrow" w:hAnsi="Arial Narrow"/>
                <w:sz w:val="20"/>
                <w:szCs w:val="20"/>
              </w:rPr>
              <w:t xml:space="preserve">. </w:t>
            </w:r>
            <w:r w:rsidRPr="00F06A1C">
              <w:rPr>
                <w:rFonts w:ascii="Arial Narrow" w:hAnsi="Arial Narrow"/>
                <w:sz w:val="20"/>
                <w:szCs w:val="20"/>
              </w:rPr>
              <w:t xml:space="preserve"> </w:t>
            </w:r>
          </w:p>
          <w:p w14:paraId="569B0675" w14:textId="3A17DB14" w:rsidR="00F53B91" w:rsidRPr="00E31C38" w:rsidRDefault="00F53B91" w:rsidP="002A7E60">
            <w:pPr>
              <w:rPr>
                <w:rFonts w:cs="Arial"/>
                <w:b/>
                <w:sz w:val="22"/>
              </w:rPr>
            </w:pPr>
          </w:p>
        </w:tc>
        <w:tc>
          <w:tcPr>
            <w:tcW w:w="993" w:type="dxa"/>
            <w:gridSpan w:val="2"/>
          </w:tcPr>
          <w:p w14:paraId="14538EC6" w14:textId="77777777" w:rsidR="002B26E7" w:rsidRPr="00E31C38" w:rsidRDefault="002B26E7" w:rsidP="00783F97">
            <w:pPr>
              <w:spacing w:after="120"/>
              <w:jc w:val="center"/>
              <w:rPr>
                <w:rFonts w:cs="Arial"/>
                <w:b/>
                <w:sz w:val="22"/>
              </w:rPr>
            </w:pPr>
          </w:p>
        </w:tc>
        <w:tc>
          <w:tcPr>
            <w:tcW w:w="3231" w:type="dxa"/>
            <w:gridSpan w:val="2"/>
          </w:tcPr>
          <w:p w14:paraId="6498F45B" w14:textId="77777777" w:rsidR="002B26E7" w:rsidRPr="00E31C38" w:rsidRDefault="002B26E7" w:rsidP="00783F97">
            <w:pPr>
              <w:spacing w:after="120"/>
              <w:jc w:val="center"/>
              <w:rPr>
                <w:rFonts w:cs="Arial"/>
                <w:b/>
                <w:sz w:val="22"/>
              </w:rPr>
            </w:pPr>
          </w:p>
        </w:tc>
      </w:tr>
      <w:tr w:rsidR="002B26E7" w14:paraId="0766EDF4" w14:textId="77777777" w:rsidTr="00EF572E">
        <w:tc>
          <w:tcPr>
            <w:tcW w:w="2963" w:type="dxa"/>
            <w:vMerge/>
          </w:tcPr>
          <w:p w14:paraId="556049A9" w14:textId="77777777" w:rsidR="002B26E7" w:rsidRPr="005E78A3" w:rsidRDefault="002B26E7" w:rsidP="005E480A">
            <w:pPr>
              <w:spacing w:after="120"/>
              <w:ind w:right="17"/>
              <w:rPr>
                <w:rFonts w:cs="Arial"/>
                <w:b/>
                <w:sz w:val="18"/>
                <w:szCs w:val="18"/>
              </w:rPr>
            </w:pPr>
          </w:p>
        </w:tc>
        <w:tc>
          <w:tcPr>
            <w:tcW w:w="8089" w:type="dxa"/>
          </w:tcPr>
          <w:p w14:paraId="7EC1399D" w14:textId="4502150C" w:rsidR="00AB7776" w:rsidRDefault="002B26E7" w:rsidP="00555D40">
            <w:pPr>
              <w:rPr>
                <w:rFonts w:ascii="Arial Narrow" w:hAnsi="Arial Narrow" w:cs="Arial"/>
                <w:sz w:val="20"/>
                <w:szCs w:val="20"/>
              </w:rPr>
            </w:pPr>
            <w:r>
              <w:rPr>
                <w:rFonts w:ascii="Arial Narrow" w:hAnsi="Arial Narrow" w:cs="Arial"/>
                <w:sz w:val="20"/>
                <w:szCs w:val="20"/>
              </w:rPr>
              <w:t xml:space="preserve">3D.    </w:t>
            </w:r>
            <w:r w:rsidRPr="00067655">
              <w:rPr>
                <w:rFonts w:ascii="Arial Narrow" w:hAnsi="Arial Narrow" w:cs="Arial"/>
                <w:sz w:val="20"/>
                <w:szCs w:val="20"/>
              </w:rPr>
              <w:t xml:space="preserve">The </w:t>
            </w:r>
            <w:r>
              <w:rPr>
                <w:rFonts w:ascii="Arial Narrow" w:hAnsi="Arial Narrow" w:cs="Arial"/>
                <w:sz w:val="20"/>
                <w:szCs w:val="20"/>
              </w:rPr>
              <w:t>P</w:t>
            </w:r>
            <w:r w:rsidRPr="00067655">
              <w:rPr>
                <w:rFonts w:ascii="Arial Narrow" w:hAnsi="Arial Narrow" w:cs="Arial"/>
                <w:sz w:val="20"/>
                <w:szCs w:val="20"/>
              </w:rPr>
              <w:t>ractice is registered with NHS Digital to report cases of Female Genital Mutilation (FGM)</w:t>
            </w:r>
            <w:r w:rsidR="00AB7776">
              <w:rPr>
                <w:rFonts w:ascii="Arial Narrow" w:hAnsi="Arial Narrow" w:cs="Arial"/>
                <w:sz w:val="20"/>
                <w:szCs w:val="20"/>
              </w:rPr>
              <w:t xml:space="preserve"> </w:t>
            </w:r>
            <w:r w:rsidR="00CE3D0A">
              <w:rPr>
                <w:rFonts w:ascii="Arial Narrow" w:hAnsi="Arial Narrow" w:cs="Arial"/>
                <w:sz w:val="20"/>
                <w:szCs w:val="20"/>
              </w:rPr>
              <w:t>and clinical</w:t>
            </w:r>
            <w:r>
              <w:rPr>
                <w:rFonts w:ascii="Arial Narrow" w:hAnsi="Arial Narrow" w:cs="Arial"/>
                <w:sz w:val="20"/>
                <w:szCs w:val="20"/>
              </w:rPr>
              <w:t xml:space="preserve"> staff are aware of the requirement for mandatory reporting of FGM </w:t>
            </w:r>
            <w:r w:rsidR="00AB7776">
              <w:rPr>
                <w:rFonts w:ascii="Arial Narrow" w:hAnsi="Arial Narrow" w:cs="Arial"/>
                <w:sz w:val="20"/>
                <w:szCs w:val="20"/>
              </w:rPr>
              <w:t xml:space="preserve">under the FGM Act (2003) for under </w:t>
            </w:r>
            <w:r w:rsidR="004F502D">
              <w:rPr>
                <w:rFonts w:ascii="Arial Narrow" w:hAnsi="Arial Narrow" w:cs="Arial"/>
                <w:sz w:val="20"/>
                <w:szCs w:val="20"/>
              </w:rPr>
              <w:t>18-year-olds</w:t>
            </w:r>
            <w:r w:rsidR="00AB7776">
              <w:rPr>
                <w:rFonts w:ascii="Arial Narrow" w:hAnsi="Arial Narrow" w:cs="Arial"/>
                <w:sz w:val="20"/>
                <w:szCs w:val="20"/>
              </w:rPr>
              <w:t xml:space="preserve"> </w:t>
            </w:r>
            <w:r>
              <w:rPr>
                <w:rFonts w:ascii="Arial Narrow" w:hAnsi="Arial Narrow" w:cs="Arial"/>
                <w:sz w:val="20"/>
                <w:szCs w:val="20"/>
              </w:rPr>
              <w:t xml:space="preserve">and know what process to follow </w:t>
            </w:r>
            <w:proofErr w:type="gramStart"/>
            <w:r>
              <w:rPr>
                <w:rFonts w:ascii="Arial Narrow" w:hAnsi="Arial Narrow" w:cs="Arial"/>
                <w:sz w:val="20"/>
                <w:szCs w:val="20"/>
              </w:rPr>
              <w:t>in order to</w:t>
            </w:r>
            <w:proofErr w:type="gramEnd"/>
            <w:r>
              <w:rPr>
                <w:rFonts w:ascii="Arial Narrow" w:hAnsi="Arial Narrow" w:cs="Arial"/>
                <w:sz w:val="20"/>
                <w:szCs w:val="20"/>
              </w:rPr>
              <w:t xml:space="preserve"> achieve this.</w:t>
            </w:r>
          </w:p>
          <w:p w14:paraId="3942CC68" w14:textId="7995207C" w:rsidR="00922524" w:rsidRPr="00E31C38" w:rsidRDefault="00922524" w:rsidP="00555D40">
            <w:pPr>
              <w:rPr>
                <w:rFonts w:cs="Arial"/>
                <w:b/>
                <w:sz w:val="22"/>
              </w:rPr>
            </w:pPr>
          </w:p>
        </w:tc>
        <w:tc>
          <w:tcPr>
            <w:tcW w:w="993" w:type="dxa"/>
            <w:gridSpan w:val="2"/>
          </w:tcPr>
          <w:p w14:paraId="52A890F0" w14:textId="77777777" w:rsidR="002B26E7" w:rsidRPr="00E31C38" w:rsidRDefault="002B26E7" w:rsidP="00783F97">
            <w:pPr>
              <w:spacing w:after="120"/>
              <w:jc w:val="center"/>
              <w:rPr>
                <w:rFonts w:cs="Arial"/>
                <w:b/>
                <w:sz w:val="22"/>
              </w:rPr>
            </w:pPr>
          </w:p>
        </w:tc>
        <w:tc>
          <w:tcPr>
            <w:tcW w:w="3231" w:type="dxa"/>
            <w:gridSpan w:val="2"/>
          </w:tcPr>
          <w:p w14:paraId="27CD3B41" w14:textId="77777777" w:rsidR="002B26E7" w:rsidRPr="00E31C38" w:rsidRDefault="002B26E7" w:rsidP="00783F97">
            <w:pPr>
              <w:spacing w:after="120"/>
              <w:jc w:val="center"/>
              <w:rPr>
                <w:rFonts w:cs="Arial"/>
                <w:b/>
                <w:sz w:val="22"/>
              </w:rPr>
            </w:pPr>
          </w:p>
        </w:tc>
      </w:tr>
      <w:tr w:rsidR="002B26E7" w14:paraId="1B29E0F6" w14:textId="77777777" w:rsidTr="00E06EF9">
        <w:tc>
          <w:tcPr>
            <w:tcW w:w="2963" w:type="dxa"/>
            <w:vMerge/>
          </w:tcPr>
          <w:p w14:paraId="12C36C1B" w14:textId="77777777" w:rsidR="002B26E7" w:rsidRPr="005E78A3" w:rsidRDefault="002B26E7" w:rsidP="005E480A">
            <w:pPr>
              <w:spacing w:after="120"/>
              <w:ind w:right="17"/>
              <w:rPr>
                <w:rFonts w:cs="Arial"/>
                <w:b/>
                <w:sz w:val="18"/>
                <w:szCs w:val="18"/>
              </w:rPr>
            </w:pPr>
          </w:p>
        </w:tc>
        <w:tc>
          <w:tcPr>
            <w:tcW w:w="8089" w:type="dxa"/>
          </w:tcPr>
          <w:p w14:paraId="64842E87" w14:textId="49DDBB6F" w:rsidR="002B26E7" w:rsidRDefault="002B26E7" w:rsidP="00555D40">
            <w:pPr>
              <w:rPr>
                <w:rFonts w:ascii="Arial Narrow" w:hAnsi="Arial Narrow" w:cs="Arial"/>
                <w:sz w:val="20"/>
                <w:szCs w:val="20"/>
              </w:rPr>
            </w:pPr>
            <w:r>
              <w:rPr>
                <w:rFonts w:ascii="Arial Narrow" w:hAnsi="Arial Narrow" w:cs="Arial"/>
                <w:sz w:val="20"/>
                <w:szCs w:val="20"/>
              </w:rPr>
              <w:t xml:space="preserve">3E.     </w:t>
            </w:r>
            <w:r w:rsidRPr="007C40C8">
              <w:rPr>
                <w:rFonts w:ascii="Arial Narrow" w:hAnsi="Arial Narrow" w:cs="Arial"/>
                <w:sz w:val="20"/>
                <w:szCs w:val="20"/>
              </w:rPr>
              <w:t xml:space="preserve">The Practice has a process in place for the management of children </w:t>
            </w:r>
            <w:r>
              <w:rPr>
                <w:rFonts w:ascii="Arial Narrow" w:hAnsi="Arial Narrow" w:cs="Arial"/>
                <w:sz w:val="20"/>
                <w:szCs w:val="20"/>
              </w:rPr>
              <w:t xml:space="preserve">or adults at risk </w:t>
            </w:r>
            <w:r w:rsidRPr="007C40C8">
              <w:rPr>
                <w:rFonts w:ascii="Arial Narrow" w:hAnsi="Arial Narrow" w:cs="Arial"/>
                <w:sz w:val="20"/>
                <w:szCs w:val="20"/>
              </w:rPr>
              <w:t>who were not brought</w:t>
            </w:r>
            <w:r>
              <w:rPr>
                <w:rFonts w:ascii="Arial Narrow" w:hAnsi="Arial Narrow" w:cs="Arial"/>
                <w:sz w:val="20"/>
                <w:szCs w:val="20"/>
              </w:rPr>
              <w:t xml:space="preserve"> </w:t>
            </w:r>
            <w:r w:rsidRPr="002C6B7E">
              <w:rPr>
                <w:rFonts w:ascii="Arial Narrow" w:hAnsi="Arial Narrow" w:cs="Arial"/>
                <w:sz w:val="20"/>
                <w:szCs w:val="20"/>
              </w:rPr>
              <w:t xml:space="preserve">(WNB) </w:t>
            </w:r>
            <w:r w:rsidRPr="007C40C8">
              <w:rPr>
                <w:rFonts w:ascii="Arial Narrow" w:hAnsi="Arial Narrow" w:cs="Arial"/>
                <w:sz w:val="20"/>
                <w:szCs w:val="20"/>
              </w:rPr>
              <w:t>to medical</w:t>
            </w:r>
            <w:r>
              <w:rPr>
                <w:rFonts w:ascii="Arial Narrow" w:hAnsi="Arial Narrow" w:cs="Arial"/>
                <w:sz w:val="20"/>
                <w:szCs w:val="20"/>
              </w:rPr>
              <w:t xml:space="preserve"> and nursing </w:t>
            </w:r>
            <w:r w:rsidRPr="007C40C8">
              <w:rPr>
                <w:rFonts w:ascii="Arial Narrow" w:hAnsi="Arial Narrow" w:cs="Arial"/>
                <w:sz w:val="20"/>
                <w:szCs w:val="20"/>
              </w:rPr>
              <w:t>ap</w:t>
            </w:r>
            <w:r>
              <w:rPr>
                <w:rFonts w:ascii="Arial Narrow" w:hAnsi="Arial Narrow" w:cs="Arial"/>
                <w:sz w:val="20"/>
                <w:szCs w:val="20"/>
              </w:rPr>
              <w:t xml:space="preserve">pointments, that includes how to manage and escalate </w:t>
            </w:r>
            <w:r w:rsidR="00FE400B">
              <w:rPr>
                <w:rFonts w:ascii="Arial Narrow" w:hAnsi="Arial Narrow" w:cs="Arial"/>
                <w:sz w:val="20"/>
                <w:szCs w:val="20"/>
              </w:rPr>
              <w:t xml:space="preserve">WNB concerns </w:t>
            </w:r>
            <w:r>
              <w:rPr>
                <w:rFonts w:ascii="Arial Narrow" w:hAnsi="Arial Narrow" w:cs="Arial"/>
                <w:sz w:val="20"/>
                <w:szCs w:val="20"/>
              </w:rPr>
              <w:t>(through reviewing their records, monitoring attendance, and referral to other agencies, as appropriate)</w:t>
            </w:r>
            <w:r w:rsidR="00FE400B">
              <w:rPr>
                <w:rFonts w:ascii="Arial Narrow" w:hAnsi="Arial Narrow" w:cs="Arial"/>
                <w:sz w:val="20"/>
                <w:szCs w:val="20"/>
              </w:rPr>
              <w:t>.</w:t>
            </w:r>
          </w:p>
          <w:p w14:paraId="035C8991" w14:textId="12446284" w:rsidR="00922524" w:rsidRPr="00E31C38" w:rsidRDefault="00922524" w:rsidP="00555D40">
            <w:pPr>
              <w:rPr>
                <w:rFonts w:cs="Arial"/>
                <w:b/>
                <w:sz w:val="22"/>
              </w:rPr>
            </w:pPr>
          </w:p>
        </w:tc>
        <w:tc>
          <w:tcPr>
            <w:tcW w:w="993" w:type="dxa"/>
            <w:gridSpan w:val="2"/>
          </w:tcPr>
          <w:p w14:paraId="101625D1" w14:textId="77777777" w:rsidR="002B26E7" w:rsidRPr="00E31C38" w:rsidRDefault="002B26E7" w:rsidP="00783F97">
            <w:pPr>
              <w:spacing w:after="120"/>
              <w:jc w:val="center"/>
              <w:rPr>
                <w:rFonts w:cs="Arial"/>
                <w:b/>
                <w:sz w:val="22"/>
              </w:rPr>
            </w:pPr>
          </w:p>
        </w:tc>
        <w:tc>
          <w:tcPr>
            <w:tcW w:w="3231" w:type="dxa"/>
            <w:gridSpan w:val="2"/>
          </w:tcPr>
          <w:p w14:paraId="3CB587DC" w14:textId="77777777" w:rsidR="002B26E7" w:rsidRPr="00E31C38" w:rsidRDefault="002B26E7" w:rsidP="00783F97">
            <w:pPr>
              <w:spacing w:after="120"/>
              <w:jc w:val="center"/>
              <w:rPr>
                <w:rFonts w:cs="Arial"/>
                <w:b/>
                <w:sz w:val="22"/>
              </w:rPr>
            </w:pPr>
          </w:p>
        </w:tc>
      </w:tr>
      <w:tr w:rsidR="002B26E7" w14:paraId="58210FF0" w14:textId="77777777" w:rsidTr="00907434">
        <w:tc>
          <w:tcPr>
            <w:tcW w:w="2963" w:type="dxa"/>
            <w:vMerge/>
          </w:tcPr>
          <w:p w14:paraId="30A7EF45" w14:textId="77777777" w:rsidR="002B26E7" w:rsidRPr="005E78A3" w:rsidRDefault="002B26E7" w:rsidP="005E480A">
            <w:pPr>
              <w:spacing w:after="120"/>
              <w:ind w:right="17"/>
              <w:rPr>
                <w:rFonts w:cs="Arial"/>
                <w:b/>
                <w:sz w:val="18"/>
                <w:szCs w:val="18"/>
              </w:rPr>
            </w:pPr>
          </w:p>
        </w:tc>
        <w:tc>
          <w:tcPr>
            <w:tcW w:w="8089" w:type="dxa"/>
          </w:tcPr>
          <w:p w14:paraId="63E16EC3" w14:textId="4D3759E1" w:rsidR="002B26E7" w:rsidRPr="00E31C38" w:rsidRDefault="002B26E7" w:rsidP="00555D40">
            <w:pPr>
              <w:rPr>
                <w:rFonts w:cs="Arial"/>
                <w:b/>
                <w:sz w:val="22"/>
              </w:rPr>
            </w:pPr>
            <w:r>
              <w:rPr>
                <w:rFonts w:ascii="Arial Narrow" w:hAnsi="Arial Narrow" w:cs="Arial"/>
                <w:sz w:val="20"/>
                <w:szCs w:val="20"/>
                <w:lang w:val="en-US"/>
              </w:rPr>
              <w:t>3F.     The Practice has a Chaperone Policy, w</w:t>
            </w:r>
            <w:r w:rsidRPr="00981AD8">
              <w:rPr>
                <w:rFonts w:ascii="Arial Narrow" w:hAnsi="Arial Narrow" w:cs="Arial"/>
                <w:sz w:val="20"/>
                <w:szCs w:val="20"/>
                <w:lang w:val="en-US"/>
              </w:rPr>
              <w:t>hich includes safeguarding responsibilities</w:t>
            </w:r>
            <w:r>
              <w:rPr>
                <w:rFonts w:ascii="Arial Narrow" w:hAnsi="Arial Narrow" w:cs="Arial"/>
                <w:sz w:val="20"/>
                <w:szCs w:val="20"/>
                <w:lang w:val="en-US"/>
              </w:rPr>
              <w:t>, in place.</w:t>
            </w:r>
          </w:p>
        </w:tc>
        <w:tc>
          <w:tcPr>
            <w:tcW w:w="993" w:type="dxa"/>
            <w:gridSpan w:val="2"/>
          </w:tcPr>
          <w:p w14:paraId="5A631B8F" w14:textId="77777777" w:rsidR="002B26E7" w:rsidRPr="00E31C38" w:rsidRDefault="002B26E7" w:rsidP="00783F97">
            <w:pPr>
              <w:spacing w:after="120"/>
              <w:jc w:val="center"/>
              <w:rPr>
                <w:rFonts w:cs="Arial"/>
                <w:b/>
                <w:sz w:val="22"/>
              </w:rPr>
            </w:pPr>
          </w:p>
        </w:tc>
        <w:tc>
          <w:tcPr>
            <w:tcW w:w="3231" w:type="dxa"/>
            <w:gridSpan w:val="2"/>
          </w:tcPr>
          <w:p w14:paraId="27252C4B" w14:textId="77777777" w:rsidR="002B26E7" w:rsidRPr="00E31C38" w:rsidRDefault="002B26E7" w:rsidP="00783F97">
            <w:pPr>
              <w:spacing w:after="120"/>
              <w:jc w:val="center"/>
              <w:rPr>
                <w:rFonts w:cs="Arial"/>
                <w:b/>
                <w:sz w:val="22"/>
              </w:rPr>
            </w:pPr>
          </w:p>
        </w:tc>
      </w:tr>
      <w:tr w:rsidR="002B26E7" w14:paraId="67963EE8" w14:textId="77777777" w:rsidTr="0035474C">
        <w:tc>
          <w:tcPr>
            <w:tcW w:w="2963" w:type="dxa"/>
            <w:vMerge/>
          </w:tcPr>
          <w:p w14:paraId="076D4A19" w14:textId="77777777" w:rsidR="002B26E7" w:rsidRPr="005E78A3" w:rsidRDefault="002B26E7" w:rsidP="005E480A">
            <w:pPr>
              <w:spacing w:after="120"/>
              <w:ind w:right="17"/>
              <w:rPr>
                <w:rFonts w:cs="Arial"/>
                <w:b/>
                <w:sz w:val="18"/>
                <w:szCs w:val="18"/>
              </w:rPr>
            </w:pPr>
          </w:p>
        </w:tc>
        <w:tc>
          <w:tcPr>
            <w:tcW w:w="8089" w:type="dxa"/>
          </w:tcPr>
          <w:p w14:paraId="2F99BF19" w14:textId="77777777" w:rsidR="00AB7776" w:rsidRDefault="002B26E7" w:rsidP="00555D40">
            <w:pPr>
              <w:rPr>
                <w:rFonts w:ascii="Arial Narrow" w:hAnsi="Arial Narrow" w:cs="Arial"/>
                <w:sz w:val="20"/>
                <w:szCs w:val="20"/>
              </w:rPr>
            </w:pPr>
            <w:r>
              <w:rPr>
                <w:rFonts w:ascii="Arial Narrow" w:hAnsi="Arial Narrow" w:cs="Arial"/>
                <w:sz w:val="20"/>
                <w:szCs w:val="20"/>
              </w:rPr>
              <w:t>3G.     The Practice has an up-to-date policy</w:t>
            </w:r>
            <w:r w:rsidRPr="00F225E6">
              <w:rPr>
                <w:rFonts w:ascii="Arial Narrow" w:hAnsi="Arial Narrow" w:cs="Arial"/>
                <w:sz w:val="20"/>
                <w:szCs w:val="20"/>
              </w:rPr>
              <w:t xml:space="preserve"> and </w:t>
            </w:r>
            <w:r>
              <w:rPr>
                <w:rFonts w:ascii="Arial Narrow" w:hAnsi="Arial Narrow" w:cs="Arial"/>
                <w:sz w:val="20"/>
                <w:szCs w:val="20"/>
              </w:rPr>
              <w:t xml:space="preserve">procedure regarding </w:t>
            </w:r>
            <w:r w:rsidRPr="0012058F">
              <w:rPr>
                <w:rFonts w:ascii="Arial Narrow" w:hAnsi="Arial Narrow" w:cs="Arial"/>
                <w:sz w:val="20"/>
                <w:szCs w:val="20"/>
              </w:rPr>
              <w:t>allegations against staff and volunt</w:t>
            </w:r>
            <w:r>
              <w:rPr>
                <w:rFonts w:ascii="Arial Narrow" w:hAnsi="Arial Narrow" w:cs="Arial"/>
                <w:sz w:val="20"/>
                <w:szCs w:val="20"/>
              </w:rPr>
              <w:t>eers working with Children or A</w:t>
            </w:r>
            <w:r w:rsidRPr="0012058F">
              <w:rPr>
                <w:rFonts w:ascii="Arial Narrow" w:hAnsi="Arial Narrow" w:cs="Arial"/>
                <w:sz w:val="20"/>
                <w:szCs w:val="20"/>
              </w:rPr>
              <w:t>dul</w:t>
            </w:r>
            <w:r>
              <w:rPr>
                <w:rFonts w:ascii="Arial Narrow" w:hAnsi="Arial Narrow" w:cs="Arial"/>
                <w:sz w:val="20"/>
                <w:szCs w:val="20"/>
              </w:rPr>
              <w:t xml:space="preserve">ts at Risk (including a </w:t>
            </w:r>
            <w:r w:rsidRPr="006D04E8">
              <w:rPr>
                <w:rFonts w:ascii="Arial Narrow" w:hAnsi="Arial Narrow" w:cs="Arial"/>
                <w:sz w:val="20"/>
                <w:szCs w:val="20"/>
              </w:rPr>
              <w:t>Managing Allegations Against Staff Policy</w:t>
            </w:r>
            <w:r>
              <w:rPr>
                <w:rFonts w:ascii="Arial Narrow" w:hAnsi="Arial Narrow" w:cs="Arial"/>
                <w:sz w:val="20"/>
                <w:szCs w:val="20"/>
              </w:rPr>
              <w:t xml:space="preserve"> and a Freedom to Speak</w:t>
            </w:r>
            <w:r w:rsidRPr="006D04E8">
              <w:rPr>
                <w:rFonts w:ascii="Arial Narrow" w:hAnsi="Arial Narrow" w:cs="Arial"/>
                <w:sz w:val="20"/>
                <w:szCs w:val="20"/>
              </w:rPr>
              <w:t>/Raising Concerns Policy</w:t>
            </w:r>
            <w:r>
              <w:rPr>
                <w:rFonts w:ascii="Arial Narrow" w:hAnsi="Arial Narrow" w:cs="Arial"/>
                <w:sz w:val="20"/>
                <w:szCs w:val="20"/>
              </w:rPr>
              <w:t>)</w:t>
            </w:r>
          </w:p>
          <w:p w14:paraId="478D34E9" w14:textId="77777777" w:rsidR="00AB7776" w:rsidRDefault="00AB7776" w:rsidP="00555D40">
            <w:pPr>
              <w:rPr>
                <w:rFonts w:ascii="Arial Narrow" w:hAnsi="Arial Narrow" w:cs="Arial"/>
                <w:sz w:val="20"/>
                <w:szCs w:val="20"/>
              </w:rPr>
            </w:pPr>
          </w:p>
          <w:p w14:paraId="1E58A284" w14:textId="642F8C2A" w:rsidR="00922524" w:rsidRPr="00E31C38" w:rsidRDefault="002B26E7" w:rsidP="00555D40">
            <w:pPr>
              <w:rPr>
                <w:rFonts w:cs="Arial"/>
                <w:b/>
                <w:sz w:val="22"/>
              </w:rPr>
            </w:pPr>
            <w:r>
              <w:rPr>
                <w:rFonts w:ascii="Arial Narrow" w:hAnsi="Arial Narrow" w:cs="Arial"/>
                <w:sz w:val="20"/>
                <w:szCs w:val="20"/>
              </w:rPr>
              <w:lastRenderedPageBreak/>
              <w:t xml:space="preserve"> </w:t>
            </w:r>
            <w:r w:rsidR="00AB7776">
              <w:rPr>
                <w:rFonts w:ascii="Arial Narrow" w:hAnsi="Arial Narrow" w:cs="Arial"/>
                <w:sz w:val="20"/>
                <w:szCs w:val="20"/>
              </w:rPr>
              <w:t>A</w:t>
            </w:r>
            <w:r>
              <w:rPr>
                <w:rFonts w:ascii="Arial Narrow" w:hAnsi="Arial Narrow" w:cs="Arial"/>
                <w:sz w:val="20"/>
                <w:szCs w:val="20"/>
              </w:rPr>
              <w:t>ll staff are aware of the function of, and how to refer to, the Local Authority Designated Officer (LADO)</w:t>
            </w:r>
            <w:r w:rsidR="00AB7776">
              <w:rPr>
                <w:rFonts w:ascii="Arial Narrow" w:hAnsi="Arial Narrow" w:cs="Arial"/>
                <w:sz w:val="20"/>
                <w:szCs w:val="20"/>
              </w:rPr>
              <w:t xml:space="preserve"> and are aware of the </w:t>
            </w:r>
            <w:proofErr w:type="spellStart"/>
            <w:r w:rsidR="00AB7776">
              <w:rPr>
                <w:rFonts w:ascii="Arial Narrow" w:hAnsi="Arial Narrow" w:cs="Arial"/>
                <w:sz w:val="20"/>
                <w:szCs w:val="20"/>
              </w:rPr>
              <w:t>PiPoT</w:t>
            </w:r>
            <w:proofErr w:type="spellEnd"/>
            <w:r w:rsidR="00AB7776">
              <w:rPr>
                <w:rFonts w:ascii="Arial Narrow" w:hAnsi="Arial Narrow" w:cs="Arial"/>
                <w:sz w:val="20"/>
                <w:szCs w:val="20"/>
              </w:rPr>
              <w:t xml:space="preserve"> process</w:t>
            </w:r>
            <w:r>
              <w:rPr>
                <w:rFonts w:ascii="Arial Narrow" w:hAnsi="Arial Narrow" w:cs="Arial"/>
                <w:sz w:val="20"/>
                <w:szCs w:val="20"/>
              </w:rPr>
              <w:t>.</w:t>
            </w:r>
          </w:p>
        </w:tc>
        <w:tc>
          <w:tcPr>
            <w:tcW w:w="993" w:type="dxa"/>
            <w:gridSpan w:val="2"/>
          </w:tcPr>
          <w:p w14:paraId="495F6829" w14:textId="77777777" w:rsidR="002B26E7" w:rsidRPr="00E31C38" w:rsidRDefault="002B26E7" w:rsidP="00783F97">
            <w:pPr>
              <w:spacing w:after="120"/>
              <w:jc w:val="center"/>
              <w:rPr>
                <w:rFonts w:cs="Arial"/>
                <w:b/>
                <w:sz w:val="22"/>
              </w:rPr>
            </w:pPr>
          </w:p>
        </w:tc>
        <w:tc>
          <w:tcPr>
            <w:tcW w:w="3231" w:type="dxa"/>
            <w:gridSpan w:val="2"/>
          </w:tcPr>
          <w:p w14:paraId="6C2BCE4D" w14:textId="77777777" w:rsidR="002B26E7" w:rsidRPr="00E31C38" w:rsidRDefault="002B26E7" w:rsidP="00783F97">
            <w:pPr>
              <w:spacing w:after="120"/>
              <w:jc w:val="center"/>
              <w:rPr>
                <w:rFonts w:cs="Arial"/>
                <w:b/>
                <w:sz w:val="22"/>
              </w:rPr>
            </w:pPr>
          </w:p>
        </w:tc>
      </w:tr>
      <w:tr w:rsidR="002B26E7" w14:paraId="1B70FAF8" w14:textId="77777777" w:rsidTr="005D7AED">
        <w:tc>
          <w:tcPr>
            <w:tcW w:w="2963" w:type="dxa"/>
            <w:vMerge/>
          </w:tcPr>
          <w:p w14:paraId="09F82985" w14:textId="77777777" w:rsidR="002B26E7" w:rsidRPr="005E78A3" w:rsidRDefault="002B26E7" w:rsidP="005E480A">
            <w:pPr>
              <w:spacing w:after="120"/>
              <w:ind w:right="17"/>
              <w:rPr>
                <w:rFonts w:cs="Arial"/>
                <w:b/>
                <w:sz w:val="18"/>
                <w:szCs w:val="18"/>
              </w:rPr>
            </w:pPr>
          </w:p>
        </w:tc>
        <w:tc>
          <w:tcPr>
            <w:tcW w:w="8089" w:type="dxa"/>
            <w:shd w:val="clear" w:color="auto" w:fill="auto"/>
          </w:tcPr>
          <w:p w14:paraId="3602E41E" w14:textId="1271E252" w:rsidR="002B26E7" w:rsidRDefault="002B26E7" w:rsidP="00555D40">
            <w:pPr>
              <w:rPr>
                <w:rFonts w:ascii="Arial Narrow" w:hAnsi="Arial Narrow" w:cs="Arial"/>
                <w:sz w:val="20"/>
                <w:szCs w:val="20"/>
              </w:rPr>
            </w:pPr>
            <w:r w:rsidRPr="005D7AED">
              <w:rPr>
                <w:rFonts w:ascii="Arial Narrow" w:hAnsi="Arial Narrow" w:cs="Arial"/>
                <w:sz w:val="20"/>
                <w:szCs w:val="20"/>
              </w:rPr>
              <w:t>3H.     The Practice has a Repeat Prescribing Policy which considers/addresses safeguarding concerns for Children and Young People, and Adults at Risk (for example reviewing medications with sedative properties prescribed to new, and prospective parents</w:t>
            </w:r>
            <w:r w:rsidR="00CE3D0A" w:rsidRPr="005D7AED">
              <w:rPr>
                <w:rFonts w:ascii="Arial Narrow" w:hAnsi="Arial Narrow" w:cs="Arial"/>
                <w:sz w:val="20"/>
                <w:szCs w:val="20"/>
              </w:rPr>
              <w:t>, non-concordance with essential medications, overdose risks and ensuring and limiting scripts and 3 monthly medication reviews</w:t>
            </w:r>
            <w:r w:rsidRPr="005D7AED">
              <w:rPr>
                <w:rFonts w:ascii="Arial Narrow" w:hAnsi="Arial Narrow" w:cs="Arial"/>
                <w:sz w:val="20"/>
                <w:szCs w:val="20"/>
              </w:rPr>
              <w:t>)</w:t>
            </w:r>
          </w:p>
          <w:p w14:paraId="6E429457" w14:textId="20068AAD" w:rsidR="00922524" w:rsidRPr="00E31C38" w:rsidRDefault="00922524" w:rsidP="00555D40">
            <w:pPr>
              <w:rPr>
                <w:rFonts w:cs="Arial"/>
                <w:b/>
                <w:sz w:val="22"/>
              </w:rPr>
            </w:pPr>
          </w:p>
        </w:tc>
        <w:tc>
          <w:tcPr>
            <w:tcW w:w="993" w:type="dxa"/>
            <w:gridSpan w:val="2"/>
          </w:tcPr>
          <w:p w14:paraId="0B41B6CF" w14:textId="77777777" w:rsidR="002B26E7" w:rsidRPr="00E31C38" w:rsidRDefault="002B26E7" w:rsidP="00783F97">
            <w:pPr>
              <w:spacing w:after="120"/>
              <w:jc w:val="center"/>
              <w:rPr>
                <w:rFonts w:cs="Arial"/>
                <w:b/>
                <w:sz w:val="22"/>
              </w:rPr>
            </w:pPr>
          </w:p>
        </w:tc>
        <w:tc>
          <w:tcPr>
            <w:tcW w:w="3231" w:type="dxa"/>
            <w:gridSpan w:val="2"/>
          </w:tcPr>
          <w:p w14:paraId="730ED792" w14:textId="77777777" w:rsidR="002B26E7" w:rsidRPr="00E31C38" w:rsidRDefault="002B26E7" w:rsidP="00783F97">
            <w:pPr>
              <w:spacing w:after="120"/>
              <w:jc w:val="center"/>
              <w:rPr>
                <w:rFonts w:cs="Arial"/>
                <w:b/>
                <w:sz w:val="22"/>
              </w:rPr>
            </w:pPr>
          </w:p>
        </w:tc>
      </w:tr>
      <w:tr w:rsidR="002B26E7" w14:paraId="7F6FCD7C" w14:textId="77777777" w:rsidTr="00D52F56">
        <w:tc>
          <w:tcPr>
            <w:tcW w:w="2963" w:type="dxa"/>
            <w:vMerge/>
          </w:tcPr>
          <w:p w14:paraId="5858CA8B" w14:textId="77777777" w:rsidR="002B26E7" w:rsidRPr="005E78A3" w:rsidRDefault="002B26E7" w:rsidP="005E480A">
            <w:pPr>
              <w:spacing w:after="120"/>
              <w:ind w:right="17"/>
              <w:rPr>
                <w:rFonts w:cs="Arial"/>
                <w:b/>
                <w:sz w:val="18"/>
                <w:szCs w:val="18"/>
              </w:rPr>
            </w:pPr>
          </w:p>
        </w:tc>
        <w:tc>
          <w:tcPr>
            <w:tcW w:w="8089" w:type="dxa"/>
          </w:tcPr>
          <w:p w14:paraId="286FF3BC" w14:textId="77777777" w:rsidR="002B26E7" w:rsidRDefault="002B26E7" w:rsidP="00555D40">
            <w:pPr>
              <w:rPr>
                <w:rFonts w:ascii="Arial Narrow" w:hAnsi="Arial Narrow" w:cs="Arial"/>
                <w:sz w:val="20"/>
                <w:szCs w:val="20"/>
              </w:rPr>
            </w:pPr>
            <w:r>
              <w:rPr>
                <w:rFonts w:ascii="Arial Narrow" w:hAnsi="Arial Narrow" w:cs="Arial"/>
                <w:sz w:val="20"/>
                <w:szCs w:val="20"/>
              </w:rPr>
              <w:t>3I.    A process is in place for accessing Interpreting Services and Practice staff do not use family/friends routinely as interpreters</w:t>
            </w:r>
          </w:p>
          <w:p w14:paraId="18081926" w14:textId="27F62180" w:rsidR="00922524" w:rsidRPr="00E31C38" w:rsidRDefault="00922524" w:rsidP="00555D40">
            <w:pPr>
              <w:rPr>
                <w:rFonts w:cs="Arial"/>
                <w:b/>
                <w:sz w:val="22"/>
              </w:rPr>
            </w:pPr>
          </w:p>
        </w:tc>
        <w:tc>
          <w:tcPr>
            <w:tcW w:w="993" w:type="dxa"/>
            <w:gridSpan w:val="2"/>
          </w:tcPr>
          <w:p w14:paraId="09B98274" w14:textId="77777777" w:rsidR="002B26E7" w:rsidRPr="00E31C38" w:rsidRDefault="002B26E7" w:rsidP="00783F97">
            <w:pPr>
              <w:spacing w:after="120"/>
              <w:jc w:val="center"/>
              <w:rPr>
                <w:rFonts w:cs="Arial"/>
                <w:b/>
                <w:sz w:val="22"/>
              </w:rPr>
            </w:pPr>
          </w:p>
        </w:tc>
        <w:tc>
          <w:tcPr>
            <w:tcW w:w="3231" w:type="dxa"/>
            <w:gridSpan w:val="2"/>
          </w:tcPr>
          <w:p w14:paraId="2CCE3FBC" w14:textId="77777777" w:rsidR="002B26E7" w:rsidRPr="00E31C38" w:rsidRDefault="002B26E7" w:rsidP="00783F97">
            <w:pPr>
              <w:spacing w:after="120"/>
              <w:jc w:val="center"/>
              <w:rPr>
                <w:rFonts w:cs="Arial"/>
                <w:b/>
                <w:sz w:val="22"/>
              </w:rPr>
            </w:pPr>
          </w:p>
        </w:tc>
      </w:tr>
      <w:tr w:rsidR="002B26E7" w14:paraId="2F606B3E" w14:textId="77777777" w:rsidTr="004F04CE">
        <w:tc>
          <w:tcPr>
            <w:tcW w:w="2963" w:type="dxa"/>
            <w:vMerge/>
          </w:tcPr>
          <w:p w14:paraId="7F2B051B" w14:textId="77777777" w:rsidR="002B26E7" w:rsidRPr="005E78A3" w:rsidRDefault="002B26E7" w:rsidP="005E480A">
            <w:pPr>
              <w:spacing w:after="120"/>
              <w:ind w:right="17"/>
              <w:rPr>
                <w:rFonts w:cs="Arial"/>
                <w:b/>
                <w:sz w:val="18"/>
                <w:szCs w:val="18"/>
              </w:rPr>
            </w:pPr>
          </w:p>
        </w:tc>
        <w:tc>
          <w:tcPr>
            <w:tcW w:w="8089" w:type="dxa"/>
          </w:tcPr>
          <w:p w14:paraId="4C5C6668" w14:textId="7DFF99AA" w:rsidR="002B26E7" w:rsidRPr="00E31C38" w:rsidRDefault="002B26E7" w:rsidP="00555D40">
            <w:pPr>
              <w:rPr>
                <w:rFonts w:cs="Arial"/>
                <w:b/>
                <w:sz w:val="22"/>
              </w:rPr>
            </w:pPr>
            <w:r>
              <w:rPr>
                <w:rFonts w:ascii="Arial Narrow" w:hAnsi="Arial Narrow" w:cs="Arial"/>
                <w:sz w:val="20"/>
                <w:szCs w:val="20"/>
              </w:rPr>
              <w:t>3J.     The Practice has up-to-date Information Governance and Data Control Policies.</w:t>
            </w:r>
          </w:p>
        </w:tc>
        <w:tc>
          <w:tcPr>
            <w:tcW w:w="993" w:type="dxa"/>
            <w:gridSpan w:val="2"/>
          </w:tcPr>
          <w:p w14:paraId="0FD193E1" w14:textId="77777777" w:rsidR="002B26E7" w:rsidRPr="00E31C38" w:rsidRDefault="002B26E7" w:rsidP="00783F97">
            <w:pPr>
              <w:spacing w:after="120"/>
              <w:jc w:val="center"/>
              <w:rPr>
                <w:rFonts w:cs="Arial"/>
                <w:b/>
                <w:sz w:val="22"/>
              </w:rPr>
            </w:pPr>
          </w:p>
        </w:tc>
        <w:tc>
          <w:tcPr>
            <w:tcW w:w="3231" w:type="dxa"/>
            <w:gridSpan w:val="2"/>
          </w:tcPr>
          <w:p w14:paraId="7622C805" w14:textId="77777777" w:rsidR="002B26E7" w:rsidRPr="00E31C38" w:rsidRDefault="002B26E7" w:rsidP="00783F97">
            <w:pPr>
              <w:spacing w:after="120"/>
              <w:jc w:val="center"/>
              <w:rPr>
                <w:rFonts w:cs="Arial"/>
                <w:b/>
                <w:sz w:val="22"/>
              </w:rPr>
            </w:pPr>
          </w:p>
        </w:tc>
      </w:tr>
      <w:tr w:rsidR="002B26E7" w14:paraId="52EC56F3" w14:textId="77777777" w:rsidTr="001746C1">
        <w:tc>
          <w:tcPr>
            <w:tcW w:w="2963" w:type="dxa"/>
            <w:vMerge/>
          </w:tcPr>
          <w:p w14:paraId="20FEF414" w14:textId="77777777" w:rsidR="002B26E7" w:rsidRPr="005E78A3" w:rsidRDefault="002B26E7" w:rsidP="005E480A">
            <w:pPr>
              <w:spacing w:after="120"/>
              <w:ind w:right="17"/>
              <w:rPr>
                <w:rFonts w:cs="Arial"/>
                <w:b/>
                <w:sz w:val="18"/>
                <w:szCs w:val="18"/>
              </w:rPr>
            </w:pPr>
          </w:p>
        </w:tc>
        <w:tc>
          <w:tcPr>
            <w:tcW w:w="8089" w:type="dxa"/>
          </w:tcPr>
          <w:p w14:paraId="3DFFC4E1" w14:textId="653A705A" w:rsidR="002B26E7" w:rsidRDefault="002B26E7" w:rsidP="00555D40">
            <w:pPr>
              <w:rPr>
                <w:rFonts w:ascii="Arial Narrow" w:hAnsi="Arial Narrow" w:cs="Arial"/>
                <w:sz w:val="20"/>
                <w:szCs w:val="20"/>
              </w:rPr>
            </w:pPr>
            <w:r>
              <w:rPr>
                <w:rFonts w:ascii="Arial Narrow" w:hAnsi="Arial Narrow" w:cs="Arial"/>
                <w:sz w:val="20"/>
                <w:szCs w:val="20"/>
              </w:rPr>
              <w:t xml:space="preserve">3K.     </w:t>
            </w:r>
            <w:r w:rsidRPr="007B79FC">
              <w:rPr>
                <w:rFonts w:ascii="Arial Narrow" w:hAnsi="Arial Narrow"/>
                <w:sz w:val="20"/>
                <w:szCs w:val="20"/>
              </w:rPr>
              <w:t xml:space="preserve">The Practice has </w:t>
            </w:r>
            <w:r w:rsidR="00EC03D3">
              <w:rPr>
                <w:rFonts w:ascii="Arial Narrow" w:hAnsi="Arial Narrow"/>
                <w:sz w:val="20"/>
                <w:szCs w:val="20"/>
              </w:rPr>
              <w:t>guidance</w:t>
            </w:r>
            <w:r w:rsidRPr="007B79FC">
              <w:rPr>
                <w:rFonts w:ascii="Arial Narrow" w:hAnsi="Arial Narrow"/>
                <w:sz w:val="20"/>
                <w:szCs w:val="20"/>
              </w:rPr>
              <w:t xml:space="preserve"> on remote consultations and the use and storage of intimate imagery. All relevant staff receives training on </w:t>
            </w:r>
            <w:r w:rsidR="00FE400B" w:rsidRPr="007B79FC">
              <w:rPr>
                <w:rFonts w:ascii="Arial Narrow" w:hAnsi="Arial Narrow"/>
                <w:sz w:val="20"/>
                <w:szCs w:val="20"/>
              </w:rPr>
              <w:t>this,</w:t>
            </w:r>
            <w:r w:rsidRPr="007B79FC">
              <w:rPr>
                <w:rFonts w:ascii="Arial Narrow" w:hAnsi="Arial Narrow" w:cs="Arial"/>
                <w:sz w:val="20"/>
                <w:szCs w:val="20"/>
              </w:rPr>
              <w:t xml:space="preserve"> and the Practice assures itself that all staff are adhering to requirements</w:t>
            </w:r>
          </w:p>
          <w:p w14:paraId="76D07832" w14:textId="69E62AAB" w:rsidR="00922524" w:rsidRPr="007B79FC" w:rsidRDefault="00922524" w:rsidP="00555D40">
            <w:pPr>
              <w:rPr>
                <w:rFonts w:cs="Arial"/>
                <w:sz w:val="22"/>
              </w:rPr>
            </w:pPr>
          </w:p>
        </w:tc>
        <w:tc>
          <w:tcPr>
            <w:tcW w:w="993" w:type="dxa"/>
            <w:gridSpan w:val="2"/>
          </w:tcPr>
          <w:p w14:paraId="36A00B21" w14:textId="77777777" w:rsidR="002B26E7" w:rsidRPr="00E31C38" w:rsidRDefault="002B26E7" w:rsidP="00783F97">
            <w:pPr>
              <w:spacing w:after="120"/>
              <w:jc w:val="center"/>
              <w:rPr>
                <w:rFonts w:cs="Arial"/>
                <w:b/>
                <w:sz w:val="22"/>
              </w:rPr>
            </w:pPr>
          </w:p>
        </w:tc>
        <w:tc>
          <w:tcPr>
            <w:tcW w:w="3231" w:type="dxa"/>
            <w:gridSpan w:val="2"/>
          </w:tcPr>
          <w:p w14:paraId="34D7B94C" w14:textId="77777777" w:rsidR="002B26E7" w:rsidRPr="00E31C38" w:rsidRDefault="002B26E7" w:rsidP="00783F97">
            <w:pPr>
              <w:spacing w:after="120"/>
              <w:jc w:val="center"/>
              <w:rPr>
                <w:rFonts w:cs="Arial"/>
                <w:b/>
                <w:sz w:val="22"/>
              </w:rPr>
            </w:pPr>
          </w:p>
        </w:tc>
      </w:tr>
      <w:tr w:rsidR="007F2B50" w14:paraId="0DD4824C" w14:textId="77777777" w:rsidTr="003B0289">
        <w:tc>
          <w:tcPr>
            <w:tcW w:w="15276" w:type="dxa"/>
            <w:gridSpan w:val="6"/>
            <w:shd w:val="clear" w:color="auto" w:fill="DBE5F1" w:themeFill="accent1" w:themeFillTint="33"/>
          </w:tcPr>
          <w:p w14:paraId="4FD086E9" w14:textId="77777777" w:rsidR="007F2B50" w:rsidRPr="00E31C38" w:rsidRDefault="00100C94" w:rsidP="00FA679E">
            <w:pPr>
              <w:spacing w:after="120"/>
              <w:jc w:val="center"/>
              <w:rPr>
                <w:rFonts w:cs="Arial"/>
                <w:b/>
                <w:sz w:val="22"/>
              </w:rPr>
            </w:pPr>
            <w:r>
              <w:rPr>
                <w:rFonts w:cs="Arial"/>
                <w:b/>
                <w:sz w:val="22"/>
              </w:rPr>
              <w:t>Safe Record keeping</w:t>
            </w:r>
          </w:p>
        </w:tc>
      </w:tr>
      <w:tr w:rsidR="002B26E7" w:rsidRPr="00E31C38" w14:paraId="602A3022" w14:textId="77777777" w:rsidTr="002B79B6">
        <w:tc>
          <w:tcPr>
            <w:tcW w:w="2963" w:type="dxa"/>
            <w:shd w:val="clear" w:color="auto" w:fill="B8CCE4" w:themeFill="accent1" w:themeFillTint="66"/>
          </w:tcPr>
          <w:p w14:paraId="2C97556F" w14:textId="77777777" w:rsidR="002B26E7" w:rsidRPr="00E31C38" w:rsidRDefault="002B26E7" w:rsidP="00D84FBE">
            <w:pPr>
              <w:spacing w:after="120"/>
              <w:jc w:val="center"/>
              <w:rPr>
                <w:rFonts w:cs="Arial"/>
                <w:b/>
                <w:sz w:val="22"/>
              </w:rPr>
            </w:pPr>
            <w:r w:rsidRPr="00C636CB">
              <w:rPr>
                <w:rFonts w:cs="Arial"/>
                <w:b/>
                <w:color w:val="FF0000"/>
                <w:sz w:val="22"/>
              </w:rPr>
              <w:t>Overarching Standard</w:t>
            </w:r>
          </w:p>
        </w:tc>
        <w:tc>
          <w:tcPr>
            <w:tcW w:w="8089" w:type="dxa"/>
            <w:shd w:val="clear" w:color="auto" w:fill="B8CCE4" w:themeFill="accent1" w:themeFillTint="66"/>
          </w:tcPr>
          <w:p w14:paraId="08E72CCB" w14:textId="02387204" w:rsidR="002B26E7" w:rsidRPr="00597038" w:rsidRDefault="002B26E7" w:rsidP="00D84FBE">
            <w:pPr>
              <w:spacing w:before="120" w:after="120"/>
              <w:jc w:val="center"/>
              <w:rPr>
                <w:rFonts w:cs="Arial"/>
                <w:b/>
                <w:sz w:val="18"/>
                <w:szCs w:val="18"/>
              </w:rPr>
            </w:pPr>
            <w:r w:rsidRPr="00E31C38">
              <w:rPr>
                <w:rFonts w:cs="Arial"/>
                <w:b/>
                <w:sz w:val="22"/>
              </w:rPr>
              <w:t>Components of standard</w:t>
            </w:r>
          </w:p>
        </w:tc>
        <w:tc>
          <w:tcPr>
            <w:tcW w:w="993" w:type="dxa"/>
            <w:gridSpan w:val="2"/>
            <w:shd w:val="clear" w:color="auto" w:fill="B8CCE4" w:themeFill="accent1" w:themeFillTint="66"/>
          </w:tcPr>
          <w:p w14:paraId="27AE2736" w14:textId="77777777" w:rsidR="002B26E7" w:rsidRPr="00E31C38" w:rsidRDefault="002B26E7" w:rsidP="00D84FBE">
            <w:pPr>
              <w:spacing w:after="120"/>
              <w:jc w:val="center"/>
              <w:rPr>
                <w:rFonts w:cs="Arial"/>
                <w:b/>
                <w:sz w:val="22"/>
              </w:rPr>
            </w:pPr>
            <w:r w:rsidRPr="00E31C38">
              <w:rPr>
                <w:rFonts w:cs="Arial"/>
                <w:b/>
                <w:sz w:val="22"/>
              </w:rPr>
              <w:t>Rag Rating</w:t>
            </w:r>
          </w:p>
        </w:tc>
        <w:tc>
          <w:tcPr>
            <w:tcW w:w="3231" w:type="dxa"/>
            <w:gridSpan w:val="2"/>
            <w:shd w:val="clear" w:color="auto" w:fill="B8CCE4" w:themeFill="accent1" w:themeFillTint="66"/>
          </w:tcPr>
          <w:p w14:paraId="5F2316AF" w14:textId="77777777" w:rsidR="002B26E7" w:rsidRPr="00E31C38" w:rsidRDefault="002B26E7" w:rsidP="00D84FBE">
            <w:pPr>
              <w:spacing w:after="120"/>
              <w:jc w:val="center"/>
              <w:rPr>
                <w:rFonts w:cs="Arial"/>
                <w:b/>
                <w:sz w:val="22"/>
              </w:rPr>
            </w:pPr>
            <w:r w:rsidRPr="00E31C38">
              <w:rPr>
                <w:rFonts w:cs="Arial"/>
                <w:b/>
                <w:sz w:val="22"/>
              </w:rPr>
              <w:t>Comments/actions</w:t>
            </w:r>
            <w:r>
              <w:rPr>
                <w:rFonts w:cs="Arial"/>
                <w:b/>
                <w:sz w:val="22"/>
              </w:rPr>
              <w:t xml:space="preserve"> by the organisation to address any areas of amber/red</w:t>
            </w:r>
          </w:p>
        </w:tc>
      </w:tr>
      <w:tr w:rsidR="00B45762" w14:paraId="61629AEC" w14:textId="77777777" w:rsidTr="00FE25C9">
        <w:tc>
          <w:tcPr>
            <w:tcW w:w="2963" w:type="dxa"/>
            <w:vMerge w:val="restart"/>
          </w:tcPr>
          <w:p w14:paraId="4D856C28" w14:textId="6A8E9885" w:rsidR="00B45762" w:rsidRPr="00BF30BE" w:rsidRDefault="00B45762" w:rsidP="00100C94">
            <w:pPr>
              <w:spacing w:after="120"/>
              <w:ind w:left="426" w:right="17" w:hanging="426"/>
              <w:rPr>
                <w:rFonts w:ascii="Arial Narrow" w:hAnsi="Arial Narrow" w:cs="Arial"/>
                <w:b/>
                <w:sz w:val="22"/>
              </w:rPr>
            </w:pPr>
            <w:r>
              <w:rPr>
                <w:rFonts w:ascii="Arial Narrow" w:hAnsi="Arial Narrow" w:cs="Arial"/>
                <w:b/>
                <w:sz w:val="22"/>
              </w:rPr>
              <w:t>4</w:t>
            </w:r>
            <w:r w:rsidRPr="00BF30BE">
              <w:rPr>
                <w:rFonts w:ascii="Arial Narrow" w:hAnsi="Arial Narrow" w:cs="Arial"/>
                <w:b/>
                <w:sz w:val="22"/>
              </w:rPr>
              <w:t xml:space="preserve">.0 The Practice embeds safe and effective record keeping for safeguarding so that all staff can </w:t>
            </w:r>
            <w:r w:rsidR="00FE400B" w:rsidRPr="00BF30BE">
              <w:rPr>
                <w:rFonts w:ascii="Arial Narrow" w:hAnsi="Arial Narrow" w:cs="Arial"/>
                <w:b/>
                <w:sz w:val="22"/>
              </w:rPr>
              <w:t>have awareness</w:t>
            </w:r>
            <w:r w:rsidRPr="00BF30BE">
              <w:rPr>
                <w:rFonts w:ascii="Arial Narrow" w:hAnsi="Arial Narrow" w:cs="Arial"/>
                <w:b/>
              </w:rPr>
              <w:t xml:space="preserve"> of patients who are at risk</w:t>
            </w:r>
          </w:p>
        </w:tc>
        <w:tc>
          <w:tcPr>
            <w:tcW w:w="8089" w:type="dxa"/>
          </w:tcPr>
          <w:p w14:paraId="04417838" w14:textId="32CDD184" w:rsidR="00B45762" w:rsidRDefault="00B45762" w:rsidP="00555D40">
            <w:pPr>
              <w:rPr>
                <w:rFonts w:ascii="Arial Narrow" w:hAnsi="Arial Narrow" w:cs="Arial"/>
                <w:sz w:val="20"/>
                <w:szCs w:val="20"/>
              </w:rPr>
            </w:pPr>
            <w:r>
              <w:rPr>
                <w:rFonts w:ascii="Arial Narrow" w:hAnsi="Arial Narrow" w:cs="Arial"/>
                <w:sz w:val="20"/>
                <w:szCs w:val="20"/>
              </w:rPr>
              <w:t xml:space="preserve">4A.    </w:t>
            </w:r>
            <w:r w:rsidRPr="0075434D">
              <w:rPr>
                <w:rFonts w:ascii="Arial Narrow" w:hAnsi="Arial Narrow" w:cs="Arial"/>
                <w:sz w:val="20"/>
                <w:szCs w:val="20"/>
              </w:rPr>
              <w:t>The Practice ensures that clinical records clearly ind</w:t>
            </w:r>
            <w:r>
              <w:rPr>
                <w:rFonts w:ascii="Arial Narrow" w:hAnsi="Arial Narrow" w:cs="Arial"/>
                <w:sz w:val="20"/>
                <w:szCs w:val="20"/>
              </w:rPr>
              <w:t>icate that a child has a Child P</w:t>
            </w:r>
            <w:r w:rsidRPr="0075434D">
              <w:rPr>
                <w:rFonts w:ascii="Arial Narrow" w:hAnsi="Arial Narrow" w:cs="Arial"/>
                <w:sz w:val="20"/>
                <w:szCs w:val="20"/>
              </w:rPr>
              <w:t>rotection Plan or Child in Need Plan</w:t>
            </w:r>
            <w:r>
              <w:rPr>
                <w:rFonts w:ascii="Arial Narrow" w:hAnsi="Arial Narrow" w:cs="Arial"/>
                <w:sz w:val="20"/>
                <w:szCs w:val="20"/>
              </w:rPr>
              <w:t xml:space="preserve"> and has an audit process of maintaining this yearly.</w:t>
            </w:r>
          </w:p>
          <w:p w14:paraId="2F30D5CE" w14:textId="4C5F6F66" w:rsidR="00B45762" w:rsidRPr="00E31C38" w:rsidRDefault="00B45762" w:rsidP="00555D40">
            <w:pPr>
              <w:rPr>
                <w:rFonts w:cs="Arial"/>
                <w:b/>
                <w:sz w:val="22"/>
              </w:rPr>
            </w:pPr>
          </w:p>
        </w:tc>
        <w:tc>
          <w:tcPr>
            <w:tcW w:w="993" w:type="dxa"/>
            <w:gridSpan w:val="2"/>
          </w:tcPr>
          <w:p w14:paraId="7F871986" w14:textId="77777777" w:rsidR="00B45762" w:rsidRPr="00E31C38" w:rsidRDefault="00B45762" w:rsidP="00555D40">
            <w:pPr>
              <w:spacing w:after="120"/>
              <w:rPr>
                <w:rFonts w:cs="Arial"/>
                <w:b/>
                <w:sz w:val="22"/>
              </w:rPr>
            </w:pPr>
          </w:p>
        </w:tc>
        <w:tc>
          <w:tcPr>
            <w:tcW w:w="3231" w:type="dxa"/>
            <w:gridSpan w:val="2"/>
          </w:tcPr>
          <w:p w14:paraId="7CEB13C6" w14:textId="77777777" w:rsidR="00B45762" w:rsidRPr="00E31C38" w:rsidRDefault="00B45762" w:rsidP="00783F97">
            <w:pPr>
              <w:spacing w:after="120"/>
              <w:jc w:val="center"/>
              <w:rPr>
                <w:rFonts w:cs="Arial"/>
                <w:b/>
                <w:sz w:val="22"/>
              </w:rPr>
            </w:pPr>
          </w:p>
        </w:tc>
      </w:tr>
      <w:tr w:rsidR="00B45762" w14:paraId="177D598A" w14:textId="77777777" w:rsidTr="00C75D07">
        <w:tc>
          <w:tcPr>
            <w:tcW w:w="2963" w:type="dxa"/>
            <w:vMerge/>
          </w:tcPr>
          <w:p w14:paraId="1EDE43A7" w14:textId="77777777" w:rsidR="00B45762" w:rsidRPr="005E78A3" w:rsidRDefault="00B45762" w:rsidP="00067E1E">
            <w:pPr>
              <w:spacing w:after="120"/>
              <w:ind w:right="17"/>
              <w:rPr>
                <w:rFonts w:cs="Arial"/>
                <w:b/>
                <w:sz w:val="18"/>
                <w:szCs w:val="18"/>
              </w:rPr>
            </w:pPr>
          </w:p>
        </w:tc>
        <w:tc>
          <w:tcPr>
            <w:tcW w:w="8089" w:type="dxa"/>
          </w:tcPr>
          <w:p w14:paraId="4AA60149" w14:textId="7B7E0EFD" w:rsidR="00B45762" w:rsidRDefault="00B45762" w:rsidP="00555D40">
            <w:pPr>
              <w:rPr>
                <w:rFonts w:ascii="Arial Narrow" w:hAnsi="Arial Narrow" w:cs="Arial"/>
                <w:sz w:val="20"/>
                <w:szCs w:val="20"/>
              </w:rPr>
            </w:pPr>
            <w:r>
              <w:rPr>
                <w:rFonts w:ascii="Arial Narrow" w:hAnsi="Arial Narrow" w:cs="Arial"/>
                <w:sz w:val="20"/>
                <w:szCs w:val="20"/>
              </w:rPr>
              <w:t xml:space="preserve">4B.   </w:t>
            </w:r>
            <w:r w:rsidRPr="00F14273">
              <w:rPr>
                <w:rFonts w:ascii="Arial Narrow" w:hAnsi="Arial Narrow" w:cs="Arial"/>
                <w:sz w:val="20"/>
                <w:szCs w:val="20"/>
              </w:rPr>
              <w:t xml:space="preserve">The Practice ensures that clinical records clearly indicate that a child is </w:t>
            </w:r>
            <w:r>
              <w:rPr>
                <w:rFonts w:ascii="Arial Narrow" w:hAnsi="Arial Narrow" w:cs="Arial"/>
                <w:sz w:val="20"/>
                <w:szCs w:val="20"/>
              </w:rPr>
              <w:t>L</w:t>
            </w:r>
            <w:r w:rsidRPr="00F14273">
              <w:rPr>
                <w:rFonts w:ascii="Arial Narrow" w:hAnsi="Arial Narrow" w:cs="Arial"/>
                <w:sz w:val="20"/>
                <w:szCs w:val="20"/>
              </w:rPr>
              <w:t xml:space="preserve">ooked </w:t>
            </w:r>
            <w:r>
              <w:rPr>
                <w:rFonts w:ascii="Arial Narrow" w:hAnsi="Arial Narrow" w:cs="Arial"/>
                <w:sz w:val="20"/>
                <w:szCs w:val="20"/>
              </w:rPr>
              <w:t>A</w:t>
            </w:r>
            <w:r w:rsidRPr="00F14273">
              <w:rPr>
                <w:rFonts w:ascii="Arial Narrow" w:hAnsi="Arial Narrow" w:cs="Arial"/>
                <w:sz w:val="20"/>
                <w:szCs w:val="20"/>
              </w:rPr>
              <w:t>fter</w:t>
            </w:r>
            <w:r>
              <w:rPr>
                <w:rFonts w:ascii="Arial Narrow" w:hAnsi="Arial Narrow" w:cs="Arial"/>
                <w:sz w:val="20"/>
                <w:szCs w:val="20"/>
              </w:rPr>
              <w:t xml:space="preserve"> or is a Care Leaver and staff know</w:t>
            </w:r>
            <w:r w:rsidRPr="00A354F0">
              <w:rPr>
                <w:rFonts w:ascii="Arial Narrow" w:hAnsi="Arial Narrow" w:cs="Arial"/>
                <w:sz w:val="20"/>
                <w:szCs w:val="20"/>
              </w:rPr>
              <w:t xml:space="preserve"> how</w:t>
            </w:r>
            <w:r>
              <w:rPr>
                <w:rFonts w:ascii="Arial Narrow" w:hAnsi="Arial Narrow" w:cs="Arial"/>
                <w:sz w:val="20"/>
                <w:szCs w:val="20"/>
              </w:rPr>
              <w:t xml:space="preserve"> and when,</w:t>
            </w:r>
            <w:r w:rsidRPr="00A354F0">
              <w:rPr>
                <w:rFonts w:ascii="Arial Narrow" w:hAnsi="Arial Narrow" w:cs="Arial"/>
                <w:sz w:val="20"/>
                <w:szCs w:val="20"/>
              </w:rPr>
              <w:t xml:space="preserve"> to contact the Looked After Children health team</w:t>
            </w:r>
            <w:r>
              <w:rPr>
                <w:rFonts w:ascii="Arial Narrow" w:hAnsi="Arial Narrow" w:cs="Arial"/>
                <w:sz w:val="20"/>
                <w:szCs w:val="20"/>
              </w:rPr>
              <w:t>. The practice provides health assessment information when requested</w:t>
            </w:r>
            <w:r w:rsidR="00FE400B">
              <w:rPr>
                <w:rFonts w:ascii="Arial Narrow" w:hAnsi="Arial Narrow" w:cs="Arial"/>
                <w:sz w:val="20"/>
                <w:szCs w:val="20"/>
              </w:rPr>
              <w:t>.</w:t>
            </w:r>
            <w:r>
              <w:rPr>
                <w:rFonts w:ascii="Arial Narrow" w:hAnsi="Arial Narrow" w:cs="Arial"/>
                <w:sz w:val="20"/>
                <w:szCs w:val="20"/>
              </w:rPr>
              <w:t xml:space="preserve"> </w:t>
            </w:r>
          </w:p>
          <w:p w14:paraId="6259AA3E" w14:textId="5EADBFDA" w:rsidR="00B45762" w:rsidRPr="00E31C38" w:rsidRDefault="00B45762" w:rsidP="00555D40">
            <w:pPr>
              <w:rPr>
                <w:rFonts w:cs="Arial"/>
                <w:b/>
                <w:sz w:val="22"/>
              </w:rPr>
            </w:pPr>
          </w:p>
        </w:tc>
        <w:tc>
          <w:tcPr>
            <w:tcW w:w="993" w:type="dxa"/>
            <w:gridSpan w:val="2"/>
          </w:tcPr>
          <w:p w14:paraId="24E4EA09" w14:textId="77777777" w:rsidR="00B45762" w:rsidRPr="00E31C38" w:rsidRDefault="00B45762" w:rsidP="00555D40">
            <w:pPr>
              <w:spacing w:after="120"/>
              <w:rPr>
                <w:rFonts w:cs="Arial"/>
                <w:b/>
                <w:sz w:val="22"/>
              </w:rPr>
            </w:pPr>
          </w:p>
        </w:tc>
        <w:tc>
          <w:tcPr>
            <w:tcW w:w="3231" w:type="dxa"/>
            <w:gridSpan w:val="2"/>
          </w:tcPr>
          <w:p w14:paraId="7CF3291E" w14:textId="77777777" w:rsidR="00B45762" w:rsidRPr="00E31C38" w:rsidRDefault="00B45762" w:rsidP="00783F97">
            <w:pPr>
              <w:spacing w:after="120"/>
              <w:jc w:val="center"/>
              <w:rPr>
                <w:rFonts w:cs="Arial"/>
                <w:b/>
                <w:sz w:val="22"/>
              </w:rPr>
            </w:pPr>
          </w:p>
        </w:tc>
      </w:tr>
      <w:tr w:rsidR="00B45762" w14:paraId="58479ED1" w14:textId="77777777" w:rsidTr="00BE60C9">
        <w:tc>
          <w:tcPr>
            <w:tcW w:w="2963" w:type="dxa"/>
            <w:vMerge/>
          </w:tcPr>
          <w:p w14:paraId="3EE0BD81" w14:textId="77777777" w:rsidR="00B45762" w:rsidRPr="005E78A3" w:rsidRDefault="00B45762" w:rsidP="00067E1E">
            <w:pPr>
              <w:spacing w:after="120"/>
              <w:ind w:right="17"/>
              <w:rPr>
                <w:rFonts w:cs="Arial"/>
                <w:b/>
                <w:sz w:val="18"/>
                <w:szCs w:val="18"/>
              </w:rPr>
            </w:pPr>
          </w:p>
        </w:tc>
        <w:tc>
          <w:tcPr>
            <w:tcW w:w="8089" w:type="dxa"/>
          </w:tcPr>
          <w:p w14:paraId="64CEC617" w14:textId="022E1AA3" w:rsidR="00B45762" w:rsidRDefault="00B45762" w:rsidP="00555D40">
            <w:pPr>
              <w:rPr>
                <w:rFonts w:ascii="Arial Narrow" w:hAnsi="Arial Narrow" w:cs="Arial"/>
                <w:sz w:val="20"/>
                <w:szCs w:val="20"/>
              </w:rPr>
            </w:pPr>
            <w:r>
              <w:rPr>
                <w:rFonts w:ascii="Arial Narrow" w:hAnsi="Arial Narrow" w:cs="Arial"/>
                <w:sz w:val="20"/>
                <w:szCs w:val="20"/>
              </w:rPr>
              <w:t>4C.    Patients' c</w:t>
            </w:r>
            <w:r w:rsidRPr="00B86945">
              <w:rPr>
                <w:rFonts w:ascii="Arial Narrow" w:hAnsi="Arial Narrow" w:cs="Arial"/>
                <w:sz w:val="20"/>
                <w:szCs w:val="20"/>
              </w:rPr>
              <w:t xml:space="preserve">linical records </w:t>
            </w:r>
            <w:r w:rsidR="00EB2A11">
              <w:rPr>
                <w:rFonts w:ascii="Arial Narrow" w:hAnsi="Arial Narrow" w:cs="Arial"/>
                <w:sz w:val="20"/>
                <w:szCs w:val="20"/>
              </w:rPr>
              <w:t xml:space="preserve">(and where appropriate relevant others such as siblings, children etc) </w:t>
            </w:r>
            <w:r w:rsidRPr="00B86945">
              <w:rPr>
                <w:rFonts w:ascii="Arial Narrow" w:hAnsi="Arial Narrow" w:cs="Arial"/>
                <w:sz w:val="20"/>
                <w:szCs w:val="20"/>
              </w:rPr>
              <w:t>clearly indicate</w:t>
            </w:r>
            <w:r>
              <w:rPr>
                <w:rFonts w:ascii="Arial Narrow" w:hAnsi="Arial Narrow" w:cs="Arial"/>
                <w:sz w:val="20"/>
                <w:szCs w:val="20"/>
              </w:rPr>
              <w:t xml:space="preserve"> upon opening if a patient is at risk of</w:t>
            </w:r>
            <w:r w:rsidRPr="00B86945">
              <w:rPr>
                <w:rFonts w:ascii="Arial Narrow" w:hAnsi="Arial Narrow" w:cs="Arial"/>
                <w:sz w:val="20"/>
                <w:szCs w:val="20"/>
              </w:rPr>
              <w:t xml:space="preserve"> abuse </w:t>
            </w:r>
            <w:r w:rsidR="00AD7F12">
              <w:rPr>
                <w:rFonts w:ascii="Arial Narrow" w:hAnsi="Arial Narrow" w:cs="Arial"/>
                <w:sz w:val="20"/>
                <w:szCs w:val="20"/>
              </w:rPr>
              <w:t xml:space="preserve">through the use of safeguarding codes </w:t>
            </w:r>
            <w:r w:rsidRPr="00B86945">
              <w:rPr>
                <w:rFonts w:ascii="Arial Narrow" w:hAnsi="Arial Narrow" w:cs="Arial"/>
                <w:sz w:val="20"/>
                <w:szCs w:val="20"/>
              </w:rPr>
              <w:t>(Domestic Abuse; Sexual Abuse; Coercive Control; Financial abuse</w:t>
            </w:r>
            <w:r>
              <w:rPr>
                <w:rFonts w:ascii="Arial Narrow" w:hAnsi="Arial Narrow" w:cs="Arial"/>
                <w:sz w:val="20"/>
                <w:szCs w:val="20"/>
              </w:rPr>
              <w:t>;</w:t>
            </w:r>
            <w:r w:rsidRPr="00B86945">
              <w:rPr>
                <w:rFonts w:ascii="Arial Narrow" w:hAnsi="Arial Narrow" w:cs="Arial"/>
                <w:sz w:val="20"/>
                <w:szCs w:val="20"/>
              </w:rPr>
              <w:t xml:space="preserve"> CSE; County Lines; Honour-based Abuse; Forced Marriage; FGM; Radicalisation; Self-Neglect and Hoarding</w:t>
            </w:r>
            <w:r>
              <w:rPr>
                <w:rFonts w:ascii="Arial Narrow" w:hAnsi="Arial Narrow" w:cs="Arial"/>
                <w:sz w:val="20"/>
                <w:szCs w:val="20"/>
              </w:rPr>
              <w:t xml:space="preserve">; </w:t>
            </w:r>
            <w:r w:rsidRPr="00B86945">
              <w:rPr>
                <w:rFonts w:ascii="Arial Narrow" w:hAnsi="Arial Narrow" w:cs="Arial"/>
                <w:sz w:val="20"/>
                <w:szCs w:val="20"/>
              </w:rPr>
              <w:t>Modern Slavery</w:t>
            </w:r>
            <w:r>
              <w:rPr>
                <w:rFonts w:ascii="Arial Narrow" w:hAnsi="Arial Narrow" w:cs="Arial"/>
                <w:sz w:val="20"/>
                <w:szCs w:val="20"/>
              </w:rPr>
              <w:t xml:space="preserve">; etc.); </w:t>
            </w:r>
            <w:r w:rsidRPr="00B86945">
              <w:rPr>
                <w:rFonts w:ascii="Arial Narrow" w:hAnsi="Arial Narrow" w:cs="Arial"/>
                <w:b/>
                <w:bCs/>
                <w:sz w:val="20"/>
                <w:szCs w:val="20"/>
              </w:rPr>
              <w:t>AND</w:t>
            </w:r>
            <w:r>
              <w:rPr>
                <w:rFonts w:ascii="Arial Narrow" w:hAnsi="Arial Narrow" w:cs="Arial"/>
                <w:sz w:val="20"/>
                <w:szCs w:val="20"/>
              </w:rPr>
              <w:t xml:space="preserve"> records other Safeguarding Risks in the relevant patient records (</w:t>
            </w:r>
            <w:r w:rsidRPr="00B86945">
              <w:rPr>
                <w:rFonts w:ascii="Arial Narrow" w:hAnsi="Arial Narrow" w:cs="Arial"/>
                <w:sz w:val="20"/>
                <w:szCs w:val="20"/>
              </w:rPr>
              <w:t>Substance misuse</w:t>
            </w:r>
            <w:r>
              <w:rPr>
                <w:rFonts w:ascii="Arial Narrow" w:hAnsi="Arial Narrow" w:cs="Arial"/>
                <w:sz w:val="20"/>
                <w:szCs w:val="20"/>
              </w:rPr>
              <w:t>; Mental Health issues; etc</w:t>
            </w:r>
            <w:r w:rsidRPr="00B86945">
              <w:rPr>
                <w:rFonts w:ascii="Arial Narrow" w:hAnsi="Arial Narrow" w:cs="Arial"/>
                <w:sz w:val="20"/>
                <w:szCs w:val="20"/>
              </w:rPr>
              <w:t xml:space="preserve">).   </w:t>
            </w:r>
          </w:p>
          <w:p w14:paraId="06C7274E" w14:textId="5D8C275B" w:rsidR="00B45762" w:rsidRPr="00E31C38" w:rsidRDefault="00B45762" w:rsidP="00555D40">
            <w:pPr>
              <w:rPr>
                <w:rFonts w:cs="Arial"/>
                <w:b/>
                <w:sz w:val="22"/>
              </w:rPr>
            </w:pPr>
          </w:p>
        </w:tc>
        <w:tc>
          <w:tcPr>
            <w:tcW w:w="993" w:type="dxa"/>
            <w:gridSpan w:val="2"/>
          </w:tcPr>
          <w:p w14:paraId="213B7F4E" w14:textId="77777777" w:rsidR="00B45762" w:rsidRPr="00E31C38" w:rsidRDefault="00B45762" w:rsidP="00555D40">
            <w:pPr>
              <w:spacing w:after="120"/>
              <w:rPr>
                <w:rFonts w:cs="Arial"/>
                <w:b/>
                <w:sz w:val="22"/>
              </w:rPr>
            </w:pPr>
          </w:p>
        </w:tc>
        <w:tc>
          <w:tcPr>
            <w:tcW w:w="3231" w:type="dxa"/>
            <w:gridSpan w:val="2"/>
          </w:tcPr>
          <w:p w14:paraId="028F8E02" w14:textId="77777777" w:rsidR="00B45762" w:rsidRPr="00E31C38" w:rsidRDefault="00B45762" w:rsidP="00783F97">
            <w:pPr>
              <w:spacing w:after="120"/>
              <w:jc w:val="center"/>
              <w:rPr>
                <w:rFonts w:cs="Arial"/>
                <w:b/>
                <w:sz w:val="22"/>
              </w:rPr>
            </w:pPr>
          </w:p>
        </w:tc>
      </w:tr>
      <w:tr w:rsidR="00B45762" w14:paraId="2B138B5F" w14:textId="77777777" w:rsidTr="00A10AB3">
        <w:tc>
          <w:tcPr>
            <w:tcW w:w="2963" w:type="dxa"/>
            <w:vMerge/>
          </w:tcPr>
          <w:p w14:paraId="4EA4ABB1" w14:textId="77777777" w:rsidR="00B45762" w:rsidRPr="005E78A3" w:rsidRDefault="00B45762" w:rsidP="00067E1E">
            <w:pPr>
              <w:spacing w:after="120"/>
              <w:ind w:right="17"/>
              <w:rPr>
                <w:rFonts w:cs="Arial"/>
                <w:b/>
                <w:sz w:val="18"/>
                <w:szCs w:val="18"/>
              </w:rPr>
            </w:pPr>
          </w:p>
        </w:tc>
        <w:tc>
          <w:tcPr>
            <w:tcW w:w="8089" w:type="dxa"/>
          </w:tcPr>
          <w:p w14:paraId="38824A3B" w14:textId="3AFC0EB4" w:rsidR="00B45762" w:rsidRPr="00E31C38" w:rsidRDefault="00B45762" w:rsidP="00873530">
            <w:pPr>
              <w:rPr>
                <w:rFonts w:cs="Arial"/>
                <w:b/>
                <w:sz w:val="22"/>
              </w:rPr>
            </w:pPr>
            <w:r>
              <w:rPr>
                <w:rFonts w:ascii="Arial Narrow" w:hAnsi="Arial Narrow" w:cs="Arial"/>
                <w:sz w:val="20"/>
                <w:szCs w:val="20"/>
              </w:rPr>
              <w:t xml:space="preserve">4D. </w:t>
            </w:r>
            <w:r w:rsidR="00D2445D">
              <w:rPr>
                <w:rFonts w:ascii="Arial Narrow" w:hAnsi="Arial Narrow" w:cs="Arial"/>
                <w:sz w:val="20"/>
                <w:szCs w:val="20"/>
              </w:rPr>
              <w:t xml:space="preserve">The practice should make </w:t>
            </w:r>
            <w:r w:rsidR="00E02A70">
              <w:rPr>
                <w:rFonts w:ascii="Arial Narrow" w:hAnsi="Arial Narrow" w:cs="Arial"/>
                <w:sz w:val="20"/>
                <w:szCs w:val="20"/>
              </w:rPr>
              <w:t>Patients aware</w:t>
            </w:r>
            <w:r w:rsidR="00EB2A11">
              <w:rPr>
                <w:rFonts w:ascii="Arial Narrow" w:hAnsi="Arial Narrow" w:cs="Arial"/>
                <w:sz w:val="20"/>
                <w:szCs w:val="20"/>
              </w:rPr>
              <w:t xml:space="preserve"> of arrangements for managing their health </w:t>
            </w:r>
            <w:r w:rsidR="00E02A70">
              <w:rPr>
                <w:rFonts w:ascii="Arial Narrow" w:hAnsi="Arial Narrow" w:cs="Arial"/>
                <w:sz w:val="20"/>
                <w:szCs w:val="20"/>
              </w:rPr>
              <w:t>information, including</w:t>
            </w:r>
            <w:r w:rsidR="00EB2A11">
              <w:rPr>
                <w:rFonts w:ascii="Arial Narrow" w:hAnsi="Arial Narrow" w:cs="Arial"/>
                <w:sz w:val="20"/>
                <w:szCs w:val="20"/>
              </w:rPr>
              <w:t xml:space="preserve"> consent for sharing of records (open share) </w:t>
            </w:r>
            <w:r w:rsidR="00A430CF">
              <w:rPr>
                <w:rFonts w:ascii="Arial Narrow" w:hAnsi="Arial Narrow" w:cs="Arial"/>
                <w:sz w:val="20"/>
                <w:szCs w:val="20"/>
              </w:rPr>
              <w:t>with other services involved</w:t>
            </w:r>
            <w:r w:rsidR="00EB2A11">
              <w:rPr>
                <w:rFonts w:ascii="Arial Narrow" w:hAnsi="Arial Narrow" w:cs="Arial"/>
                <w:sz w:val="20"/>
                <w:szCs w:val="20"/>
              </w:rPr>
              <w:t xml:space="preserve"> directly</w:t>
            </w:r>
            <w:r w:rsidR="00A430CF">
              <w:rPr>
                <w:rFonts w:ascii="Arial Narrow" w:hAnsi="Arial Narrow" w:cs="Arial"/>
                <w:sz w:val="20"/>
                <w:szCs w:val="20"/>
              </w:rPr>
              <w:t xml:space="preserve"> with the patient's care (for example Health Visitors, 0-19 Service practitioners; Midwifery; District Nurses, attached Pharmacists; etc.).</w:t>
            </w:r>
            <w:r w:rsidR="00A430CF" w:rsidDel="00A430CF">
              <w:rPr>
                <w:rFonts w:ascii="Arial Narrow" w:hAnsi="Arial Narrow" w:cs="Arial"/>
                <w:sz w:val="20"/>
                <w:szCs w:val="20"/>
              </w:rPr>
              <w:t xml:space="preserve"> </w:t>
            </w:r>
          </w:p>
        </w:tc>
        <w:tc>
          <w:tcPr>
            <w:tcW w:w="993" w:type="dxa"/>
            <w:gridSpan w:val="2"/>
          </w:tcPr>
          <w:p w14:paraId="79669704" w14:textId="77777777" w:rsidR="00B45762" w:rsidRPr="00E31C38" w:rsidRDefault="00B45762" w:rsidP="00873530">
            <w:pPr>
              <w:spacing w:after="120"/>
              <w:rPr>
                <w:rFonts w:cs="Arial"/>
                <w:b/>
                <w:sz w:val="22"/>
              </w:rPr>
            </w:pPr>
          </w:p>
        </w:tc>
        <w:tc>
          <w:tcPr>
            <w:tcW w:w="3231" w:type="dxa"/>
            <w:gridSpan w:val="2"/>
          </w:tcPr>
          <w:p w14:paraId="6FBC6FA2" w14:textId="77777777" w:rsidR="00B45762" w:rsidRPr="00E31C38" w:rsidRDefault="00B45762" w:rsidP="00783F97">
            <w:pPr>
              <w:spacing w:after="120"/>
              <w:jc w:val="center"/>
              <w:rPr>
                <w:rFonts w:cs="Arial"/>
                <w:b/>
                <w:sz w:val="22"/>
              </w:rPr>
            </w:pPr>
          </w:p>
        </w:tc>
      </w:tr>
      <w:tr w:rsidR="00B45762" w14:paraId="0BB19840" w14:textId="77777777" w:rsidTr="00313241">
        <w:tc>
          <w:tcPr>
            <w:tcW w:w="2963" w:type="dxa"/>
            <w:vMerge/>
          </w:tcPr>
          <w:p w14:paraId="27D6762F" w14:textId="77777777" w:rsidR="00B45762" w:rsidRPr="005E78A3" w:rsidRDefault="00B45762" w:rsidP="00067E1E">
            <w:pPr>
              <w:spacing w:after="120"/>
              <w:ind w:right="17"/>
              <w:rPr>
                <w:rFonts w:cs="Arial"/>
                <w:b/>
                <w:sz w:val="18"/>
                <w:szCs w:val="18"/>
              </w:rPr>
            </w:pPr>
          </w:p>
        </w:tc>
        <w:tc>
          <w:tcPr>
            <w:tcW w:w="8089" w:type="dxa"/>
          </w:tcPr>
          <w:p w14:paraId="72E5ADCE" w14:textId="77777777" w:rsidR="00B45762" w:rsidRDefault="00B45762" w:rsidP="00873530">
            <w:pPr>
              <w:rPr>
                <w:rFonts w:ascii="Arial Narrow" w:hAnsi="Arial Narrow" w:cs="Arial"/>
                <w:sz w:val="20"/>
                <w:szCs w:val="20"/>
              </w:rPr>
            </w:pPr>
            <w:r>
              <w:rPr>
                <w:rFonts w:ascii="Arial Narrow" w:hAnsi="Arial Narrow" w:cs="Arial"/>
                <w:sz w:val="20"/>
                <w:szCs w:val="20"/>
              </w:rPr>
              <w:t>4E.    The Practice is aware that a child registered with them, where neither parent is registered, is a potential “red flag” and highlights the same in the child’s record, as well as encouraging one or both parents to register with them.</w:t>
            </w:r>
          </w:p>
          <w:p w14:paraId="074D3007" w14:textId="09007DC5" w:rsidR="00E02A70" w:rsidRPr="00E31C38" w:rsidRDefault="00E02A70" w:rsidP="00873530">
            <w:pPr>
              <w:rPr>
                <w:rFonts w:cs="Arial"/>
                <w:b/>
                <w:sz w:val="22"/>
              </w:rPr>
            </w:pPr>
          </w:p>
        </w:tc>
        <w:tc>
          <w:tcPr>
            <w:tcW w:w="993" w:type="dxa"/>
            <w:gridSpan w:val="2"/>
          </w:tcPr>
          <w:p w14:paraId="37382202" w14:textId="77777777" w:rsidR="00B45762" w:rsidRPr="00E31C38" w:rsidRDefault="00B45762" w:rsidP="00873530">
            <w:pPr>
              <w:spacing w:after="120"/>
              <w:rPr>
                <w:rFonts w:cs="Arial"/>
                <w:b/>
                <w:sz w:val="22"/>
              </w:rPr>
            </w:pPr>
          </w:p>
        </w:tc>
        <w:tc>
          <w:tcPr>
            <w:tcW w:w="3231" w:type="dxa"/>
            <w:gridSpan w:val="2"/>
          </w:tcPr>
          <w:p w14:paraId="7F7D79AB" w14:textId="77777777" w:rsidR="00B45762" w:rsidRPr="00E31C38" w:rsidRDefault="00B45762" w:rsidP="00783F97">
            <w:pPr>
              <w:spacing w:after="120"/>
              <w:jc w:val="center"/>
              <w:rPr>
                <w:rFonts w:cs="Arial"/>
                <w:b/>
                <w:sz w:val="22"/>
              </w:rPr>
            </w:pPr>
          </w:p>
        </w:tc>
      </w:tr>
      <w:tr w:rsidR="00B45762" w14:paraId="10D94315" w14:textId="77777777" w:rsidTr="00BF597E">
        <w:tc>
          <w:tcPr>
            <w:tcW w:w="2963" w:type="dxa"/>
            <w:vMerge/>
          </w:tcPr>
          <w:p w14:paraId="372A7DEE" w14:textId="77777777" w:rsidR="00B45762" w:rsidRPr="005E78A3" w:rsidRDefault="00B45762" w:rsidP="00794FA5">
            <w:pPr>
              <w:spacing w:line="256" w:lineRule="auto"/>
              <w:rPr>
                <w:rFonts w:cs="Arial"/>
                <w:b/>
                <w:sz w:val="18"/>
                <w:szCs w:val="18"/>
              </w:rPr>
            </w:pPr>
          </w:p>
        </w:tc>
        <w:tc>
          <w:tcPr>
            <w:tcW w:w="8089" w:type="dxa"/>
          </w:tcPr>
          <w:p w14:paraId="21E409EA" w14:textId="0DF50E41" w:rsidR="00B45762" w:rsidRPr="00E31C38" w:rsidRDefault="00B45762" w:rsidP="00336918">
            <w:pPr>
              <w:rPr>
                <w:rFonts w:cs="Arial"/>
                <w:b/>
                <w:sz w:val="22"/>
              </w:rPr>
            </w:pPr>
            <w:r>
              <w:rPr>
                <w:rFonts w:ascii="Arial Narrow" w:hAnsi="Arial Narrow" w:cs="Arial"/>
                <w:sz w:val="20"/>
                <w:szCs w:val="20"/>
              </w:rPr>
              <w:t xml:space="preserve">4F.     </w:t>
            </w:r>
            <w:r w:rsidRPr="006D071D">
              <w:rPr>
                <w:rFonts w:ascii="Arial Narrow" w:hAnsi="Arial Narrow" w:cs="Arial"/>
                <w:sz w:val="20"/>
                <w:szCs w:val="20"/>
              </w:rPr>
              <w:t>For new patients under the age of 18, the practice can demonstrate its registration procedure includes gathering and recording details of siblings and all adults with a caring role in ‘Groups and Relationships’.</w:t>
            </w:r>
          </w:p>
        </w:tc>
        <w:tc>
          <w:tcPr>
            <w:tcW w:w="993" w:type="dxa"/>
            <w:gridSpan w:val="2"/>
          </w:tcPr>
          <w:p w14:paraId="445D0C55" w14:textId="77777777" w:rsidR="00B45762" w:rsidRPr="00E31C38" w:rsidRDefault="00B45762" w:rsidP="00336918">
            <w:pPr>
              <w:spacing w:after="120"/>
              <w:rPr>
                <w:rFonts w:cs="Arial"/>
                <w:b/>
                <w:sz w:val="22"/>
              </w:rPr>
            </w:pPr>
          </w:p>
        </w:tc>
        <w:tc>
          <w:tcPr>
            <w:tcW w:w="3231" w:type="dxa"/>
            <w:gridSpan w:val="2"/>
          </w:tcPr>
          <w:p w14:paraId="40AEE6CE" w14:textId="77777777" w:rsidR="00B45762" w:rsidRPr="00E31C38" w:rsidRDefault="00B45762" w:rsidP="00783F97">
            <w:pPr>
              <w:spacing w:after="120"/>
              <w:jc w:val="center"/>
              <w:rPr>
                <w:rFonts w:cs="Arial"/>
                <w:b/>
                <w:sz w:val="22"/>
              </w:rPr>
            </w:pPr>
          </w:p>
        </w:tc>
      </w:tr>
      <w:tr w:rsidR="00B45762" w14:paraId="729E82FC" w14:textId="77777777" w:rsidTr="006D248C">
        <w:tc>
          <w:tcPr>
            <w:tcW w:w="2963" w:type="dxa"/>
            <w:vMerge/>
          </w:tcPr>
          <w:p w14:paraId="47C5A787" w14:textId="77777777" w:rsidR="00B45762" w:rsidRPr="005E78A3" w:rsidRDefault="00B45762" w:rsidP="00794FA5">
            <w:pPr>
              <w:spacing w:line="256" w:lineRule="auto"/>
              <w:rPr>
                <w:rFonts w:cs="Arial"/>
                <w:b/>
                <w:sz w:val="18"/>
                <w:szCs w:val="18"/>
              </w:rPr>
            </w:pPr>
          </w:p>
        </w:tc>
        <w:tc>
          <w:tcPr>
            <w:tcW w:w="8089" w:type="dxa"/>
          </w:tcPr>
          <w:p w14:paraId="09C4578D" w14:textId="5AA9B493" w:rsidR="00B45762" w:rsidRDefault="00B45762" w:rsidP="00336918">
            <w:pPr>
              <w:rPr>
                <w:rFonts w:ascii="Arial Narrow" w:hAnsi="Arial Narrow" w:cs="Arial"/>
                <w:b/>
                <w:sz w:val="20"/>
                <w:szCs w:val="20"/>
              </w:rPr>
            </w:pPr>
            <w:r>
              <w:rPr>
                <w:rFonts w:ascii="Arial Narrow" w:hAnsi="Arial Narrow" w:cs="Arial"/>
                <w:sz w:val="20"/>
                <w:szCs w:val="20"/>
              </w:rPr>
              <w:t xml:space="preserve">4 </w:t>
            </w:r>
            <w:r w:rsidR="00B36DBA">
              <w:rPr>
                <w:rFonts w:ascii="Arial Narrow" w:hAnsi="Arial Narrow" w:cs="Arial"/>
                <w:sz w:val="20"/>
                <w:szCs w:val="20"/>
              </w:rPr>
              <w:t>G</w:t>
            </w:r>
            <w:r>
              <w:rPr>
                <w:rFonts w:ascii="Arial Narrow" w:hAnsi="Arial Narrow" w:cs="Arial"/>
                <w:sz w:val="20"/>
                <w:szCs w:val="20"/>
              </w:rPr>
              <w:t xml:space="preserve">.    A process is in place for managing, </w:t>
            </w:r>
            <w:proofErr w:type="gramStart"/>
            <w:r>
              <w:rPr>
                <w:rFonts w:ascii="Arial Narrow" w:hAnsi="Arial Narrow" w:cs="Arial"/>
                <w:sz w:val="20"/>
                <w:szCs w:val="20"/>
              </w:rPr>
              <w:t>recording</w:t>
            </w:r>
            <w:proofErr w:type="gramEnd"/>
            <w:r>
              <w:rPr>
                <w:rFonts w:ascii="Arial Narrow" w:hAnsi="Arial Narrow" w:cs="Arial"/>
                <w:sz w:val="20"/>
                <w:szCs w:val="20"/>
              </w:rPr>
              <w:t xml:space="preserve"> and responding to safeguarding information about patients received from outside agencies (including Child Protection Conferences; Health Assessments for Children who are Looked After; MARAC Meetings; MACE Meetings; and Strategy Meetings </w:t>
            </w:r>
            <w:r w:rsidRPr="00B86F94">
              <w:rPr>
                <w:rFonts w:ascii="Arial Narrow" w:hAnsi="Arial Narrow" w:cs="Arial"/>
                <w:b/>
                <w:bCs/>
                <w:sz w:val="20"/>
                <w:szCs w:val="20"/>
              </w:rPr>
              <w:t>AND</w:t>
            </w:r>
            <w:r>
              <w:rPr>
                <w:rFonts w:ascii="Arial Narrow" w:hAnsi="Arial Narrow" w:cs="Arial"/>
                <w:sz w:val="20"/>
                <w:szCs w:val="20"/>
              </w:rPr>
              <w:t xml:space="preserve"> Adult equivalents</w:t>
            </w:r>
            <w:r w:rsidR="00460634">
              <w:rPr>
                <w:rFonts w:ascii="Arial Narrow" w:hAnsi="Arial Narrow" w:cs="Arial"/>
                <w:sz w:val="20"/>
                <w:szCs w:val="20"/>
              </w:rPr>
              <w:t>.</w:t>
            </w:r>
          </w:p>
          <w:p w14:paraId="3F8648B0" w14:textId="7469613D" w:rsidR="00B45762" w:rsidRPr="00E31C38" w:rsidRDefault="00B45762" w:rsidP="00336918">
            <w:pPr>
              <w:rPr>
                <w:rFonts w:cs="Arial"/>
                <w:b/>
                <w:sz w:val="22"/>
              </w:rPr>
            </w:pPr>
          </w:p>
        </w:tc>
        <w:tc>
          <w:tcPr>
            <w:tcW w:w="993" w:type="dxa"/>
            <w:gridSpan w:val="2"/>
          </w:tcPr>
          <w:p w14:paraId="1D9F52CB" w14:textId="77777777" w:rsidR="00B45762" w:rsidRPr="00E31C38" w:rsidRDefault="00B45762" w:rsidP="00336918">
            <w:pPr>
              <w:spacing w:after="120"/>
              <w:rPr>
                <w:rFonts w:cs="Arial"/>
                <w:b/>
                <w:sz w:val="22"/>
              </w:rPr>
            </w:pPr>
          </w:p>
        </w:tc>
        <w:tc>
          <w:tcPr>
            <w:tcW w:w="3231" w:type="dxa"/>
            <w:gridSpan w:val="2"/>
          </w:tcPr>
          <w:p w14:paraId="0437FAD5" w14:textId="77777777" w:rsidR="00B45762" w:rsidRPr="00E31C38" w:rsidRDefault="00B45762" w:rsidP="00783F97">
            <w:pPr>
              <w:spacing w:after="120"/>
              <w:jc w:val="center"/>
              <w:rPr>
                <w:rFonts w:cs="Arial"/>
                <w:b/>
                <w:sz w:val="22"/>
              </w:rPr>
            </w:pPr>
          </w:p>
        </w:tc>
      </w:tr>
      <w:tr w:rsidR="00AD7F12" w14:paraId="40F73F0A" w14:textId="77777777" w:rsidTr="006D248C">
        <w:tc>
          <w:tcPr>
            <w:tcW w:w="2963" w:type="dxa"/>
          </w:tcPr>
          <w:p w14:paraId="5131B43D" w14:textId="77777777" w:rsidR="00AD7F12" w:rsidRPr="005E78A3" w:rsidRDefault="00AD7F12" w:rsidP="00794FA5">
            <w:pPr>
              <w:spacing w:line="256" w:lineRule="auto"/>
              <w:rPr>
                <w:rFonts w:cs="Arial"/>
                <w:b/>
                <w:sz w:val="18"/>
                <w:szCs w:val="18"/>
              </w:rPr>
            </w:pPr>
          </w:p>
        </w:tc>
        <w:tc>
          <w:tcPr>
            <w:tcW w:w="8089" w:type="dxa"/>
          </w:tcPr>
          <w:p w14:paraId="77236619" w14:textId="3B814E3C" w:rsidR="00AD7F12" w:rsidRDefault="00AD7F12" w:rsidP="008B0B6B">
            <w:pPr>
              <w:rPr>
                <w:rFonts w:ascii="Arial Narrow" w:hAnsi="Arial Narrow" w:cs="Arial"/>
                <w:sz w:val="20"/>
                <w:szCs w:val="20"/>
              </w:rPr>
            </w:pPr>
            <w:r>
              <w:rPr>
                <w:rFonts w:ascii="Arial Narrow" w:hAnsi="Arial Narrow" w:cs="Arial"/>
                <w:sz w:val="20"/>
                <w:szCs w:val="20"/>
              </w:rPr>
              <w:t>4</w:t>
            </w:r>
            <w:r w:rsidR="00B36DBA">
              <w:rPr>
                <w:rFonts w:ascii="Arial Narrow" w:hAnsi="Arial Narrow" w:cs="Arial"/>
                <w:sz w:val="20"/>
                <w:szCs w:val="20"/>
              </w:rPr>
              <w:t>H</w:t>
            </w:r>
            <w:r>
              <w:rPr>
                <w:rFonts w:ascii="Arial Narrow" w:hAnsi="Arial Narrow" w:cs="Arial"/>
                <w:sz w:val="20"/>
                <w:szCs w:val="20"/>
              </w:rPr>
              <w:t>. A process is in place for managing Proxy access to patient online services</w:t>
            </w:r>
            <w:r w:rsidR="008B0B6B">
              <w:rPr>
                <w:rFonts w:ascii="Arial Narrow" w:hAnsi="Arial Narrow" w:cs="Arial"/>
                <w:sz w:val="20"/>
                <w:szCs w:val="20"/>
              </w:rPr>
              <w:t xml:space="preserve">, </w:t>
            </w:r>
            <w:r>
              <w:rPr>
                <w:rFonts w:ascii="Arial Narrow" w:hAnsi="Arial Narrow" w:cs="Arial"/>
                <w:sz w:val="20"/>
                <w:szCs w:val="20"/>
              </w:rPr>
              <w:t>management of subject access requests</w:t>
            </w:r>
            <w:r w:rsidR="008B0B6B">
              <w:rPr>
                <w:rFonts w:ascii="Arial Narrow" w:hAnsi="Arial Narrow" w:cs="Arial"/>
                <w:sz w:val="20"/>
                <w:szCs w:val="20"/>
              </w:rPr>
              <w:t xml:space="preserve"> and redaction of sensitive and third-party information from online records</w:t>
            </w:r>
            <w:r>
              <w:rPr>
                <w:rFonts w:ascii="Arial Narrow" w:hAnsi="Arial Narrow" w:cs="Arial"/>
                <w:sz w:val="20"/>
                <w:szCs w:val="20"/>
              </w:rPr>
              <w:t xml:space="preserve">. </w:t>
            </w:r>
          </w:p>
          <w:p w14:paraId="7ADC59AE" w14:textId="6CB5023A" w:rsidR="00460634" w:rsidRDefault="00460634" w:rsidP="008B0B6B">
            <w:pPr>
              <w:rPr>
                <w:rFonts w:ascii="Arial Narrow" w:hAnsi="Arial Narrow" w:cs="Arial"/>
                <w:sz w:val="20"/>
                <w:szCs w:val="20"/>
              </w:rPr>
            </w:pPr>
          </w:p>
        </w:tc>
        <w:tc>
          <w:tcPr>
            <w:tcW w:w="993" w:type="dxa"/>
            <w:gridSpan w:val="2"/>
          </w:tcPr>
          <w:p w14:paraId="72695A06" w14:textId="77777777" w:rsidR="00AD7F12" w:rsidRPr="00E31C38" w:rsidRDefault="00AD7F12" w:rsidP="00336918">
            <w:pPr>
              <w:spacing w:after="120"/>
              <w:rPr>
                <w:rFonts w:cs="Arial"/>
                <w:b/>
                <w:sz w:val="22"/>
              </w:rPr>
            </w:pPr>
          </w:p>
        </w:tc>
        <w:tc>
          <w:tcPr>
            <w:tcW w:w="3231" w:type="dxa"/>
            <w:gridSpan w:val="2"/>
          </w:tcPr>
          <w:p w14:paraId="4EAF9516" w14:textId="77777777" w:rsidR="00AD7F12" w:rsidRPr="00E31C38" w:rsidRDefault="00AD7F12" w:rsidP="00783F97">
            <w:pPr>
              <w:spacing w:after="120"/>
              <w:jc w:val="center"/>
              <w:rPr>
                <w:rFonts w:cs="Arial"/>
                <w:b/>
                <w:sz w:val="22"/>
              </w:rPr>
            </w:pPr>
          </w:p>
        </w:tc>
      </w:tr>
      <w:tr w:rsidR="007F2B50" w:rsidRPr="00DB4395" w14:paraId="0681F15E" w14:textId="77777777" w:rsidTr="00101302">
        <w:tc>
          <w:tcPr>
            <w:tcW w:w="15276" w:type="dxa"/>
            <w:gridSpan w:val="6"/>
            <w:shd w:val="clear" w:color="auto" w:fill="DBE5F1" w:themeFill="accent1" w:themeFillTint="33"/>
          </w:tcPr>
          <w:p w14:paraId="4613F3EF" w14:textId="77777777" w:rsidR="007F2B50" w:rsidRPr="001B0681" w:rsidRDefault="007F2B50" w:rsidP="008B4CB7">
            <w:pPr>
              <w:spacing w:before="120" w:after="120"/>
              <w:jc w:val="center"/>
              <w:rPr>
                <w:rFonts w:cs="Arial"/>
                <w:b/>
                <w:sz w:val="28"/>
                <w:szCs w:val="28"/>
              </w:rPr>
            </w:pPr>
            <w:r w:rsidRPr="006F38C0">
              <w:rPr>
                <w:rFonts w:ascii="Arial Narrow" w:hAnsi="Arial Narrow" w:cs="Arial"/>
                <w:b/>
              </w:rPr>
              <w:t xml:space="preserve">Information Sharing and Removal of Children </w:t>
            </w:r>
            <w:r>
              <w:rPr>
                <w:rFonts w:ascii="Arial Narrow" w:hAnsi="Arial Narrow" w:cs="Arial"/>
                <w:b/>
              </w:rPr>
              <w:t xml:space="preserve">and Adults at Risk </w:t>
            </w:r>
            <w:r w:rsidRPr="006F38C0">
              <w:rPr>
                <w:rFonts w:ascii="Arial Narrow" w:hAnsi="Arial Narrow" w:cs="Arial"/>
                <w:b/>
              </w:rPr>
              <w:t>from a GP list</w:t>
            </w:r>
          </w:p>
        </w:tc>
      </w:tr>
      <w:tr w:rsidR="002B26E7" w:rsidRPr="00E31C38" w14:paraId="5EEDC2A8" w14:textId="77777777" w:rsidTr="0022298E">
        <w:tc>
          <w:tcPr>
            <w:tcW w:w="2963" w:type="dxa"/>
            <w:shd w:val="clear" w:color="auto" w:fill="B8CCE4" w:themeFill="accent1" w:themeFillTint="66"/>
          </w:tcPr>
          <w:p w14:paraId="421558F2" w14:textId="77777777" w:rsidR="002B26E7" w:rsidRPr="00E31C38" w:rsidRDefault="002B26E7" w:rsidP="00783F97">
            <w:pPr>
              <w:spacing w:after="120"/>
              <w:jc w:val="center"/>
              <w:rPr>
                <w:rFonts w:cs="Arial"/>
                <w:b/>
                <w:sz w:val="22"/>
              </w:rPr>
            </w:pPr>
            <w:r w:rsidRPr="00C636CB">
              <w:rPr>
                <w:rFonts w:cs="Arial"/>
                <w:b/>
                <w:color w:val="FF0000"/>
                <w:sz w:val="22"/>
              </w:rPr>
              <w:t>Overarching Standard</w:t>
            </w:r>
          </w:p>
        </w:tc>
        <w:tc>
          <w:tcPr>
            <w:tcW w:w="8240" w:type="dxa"/>
            <w:gridSpan w:val="2"/>
            <w:shd w:val="clear" w:color="auto" w:fill="B8CCE4" w:themeFill="accent1" w:themeFillTint="66"/>
          </w:tcPr>
          <w:p w14:paraId="1862A303" w14:textId="566D782B" w:rsidR="002B26E7" w:rsidRPr="00597038" w:rsidRDefault="002B26E7" w:rsidP="00336918">
            <w:pPr>
              <w:spacing w:before="120" w:after="120"/>
              <w:rPr>
                <w:rFonts w:cs="Arial"/>
                <w:b/>
                <w:sz w:val="18"/>
                <w:szCs w:val="18"/>
              </w:rPr>
            </w:pPr>
            <w:r w:rsidRPr="00E31C38">
              <w:rPr>
                <w:rFonts w:cs="Arial"/>
                <w:b/>
                <w:sz w:val="22"/>
              </w:rPr>
              <w:t>Components of standard</w:t>
            </w:r>
          </w:p>
        </w:tc>
        <w:tc>
          <w:tcPr>
            <w:tcW w:w="1060" w:type="dxa"/>
            <w:gridSpan w:val="2"/>
            <w:shd w:val="clear" w:color="auto" w:fill="B8CCE4" w:themeFill="accent1" w:themeFillTint="66"/>
          </w:tcPr>
          <w:p w14:paraId="1B147BC4" w14:textId="77777777" w:rsidR="002B26E7" w:rsidRPr="00E31C38" w:rsidRDefault="002B26E7" w:rsidP="00783F97">
            <w:pPr>
              <w:spacing w:after="120"/>
              <w:jc w:val="center"/>
              <w:rPr>
                <w:rFonts w:cs="Arial"/>
                <w:b/>
                <w:sz w:val="22"/>
              </w:rPr>
            </w:pPr>
            <w:r w:rsidRPr="00E31C38">
              <w:rPr>
                <w:rFonts w:cs="Arial"/>
                <w:b/>
                <w:sz w:val="22"/>
              </w:rPr>
              <w:t>Rag Rating</w:t>
            </w:r>
          </w:p>
        </w:tc>
        <w:tc>
          <w:tcPr>
            <w:tcW w:w="3013" w:type="dxa"/>
            <w:shd w:val="clear" w:color="auto" w:fill="B8CCE4" w:themeFill="accent1" w:themeFillTint="66"/>
          </w:tcPr>
          <w:p w14:paraId="7BDCC13A" w14:textId="77777777" w:rsidR="002B26E7" w:rsidRPr="00E31C38" w:rsidRDefault="002B26E7" w:rsidP="00783F97">
            <w:pPr>
              <w:spacing w:after="120"/>
              <w:jc w:val="center"/>
              <w:rPr>
                <w:rFonts w:cs="Arial"/>
                <w:b/>
                <w:sz w:val="22"/>
              </w:rPr>
            </w:pPr>
            <w:r w:rsidRPr="00E31C38">
              <w:rPr>
                <w:rFonts w:cs="Arial"/>
                <w:b/>
                <w:sz w:val="22"/>
              </w:rPr>
              <w:t>Comments/actions</w:t>
            </w:r>
            <w:r>
              <w:rPr>
                <w:rFonts w:cs="Arial"/>
                <w:b/>
                <w:sz w:val="22"/>
              </w:rPr>
              <w:t xml:space="preserve"> by the organisation to address any areas of amber/red</w:t>
            </w:r>
          </w:p>
        </w:tc>
      </w:tr>
      <w:tr w:rsidR="002B26E7" w14:paraId="03B91F09" w14:textId="77777777" w:rsidTr="00CC4B37">
        <w:tc>
          <w:tcPr>
            <w:tcW w:w="2963" w:type="dxa"/>
            <w:vMerge w:val="restart"/>
          </w:tcPr>
          <w:p w14:paraId="62519925" w14:textId="77777777" w:rsidR="002B26E7" w:rsidRPr="000316A0" w:rsidRDefault="002B26E7" w:rsidP="009C3398">
            <w:pPr>
              <w:widowControl w:val="0"/>
              <w:spacing w:line="256" w:lineRule="auto"/>
              <w:ind w:right="25"/>
              <w:rPr>
                <w:rFonts w:eastAsia="Arial" w:cs="Arial"/>
                <w:sz w:val="22"/>
              </w:rPr>
            </w:pPr>
            <w:r>
              <w:rPr>
                <w:rFonts w:ascii="Arial Narrow" w:eastAsia="Arial" w:hAnsi="Arial Narrow" w:cs="Arial"/>
                <w:b/>
                <w:sz w:val="22"/>
              </w:rPr>
              <w:t>5</w:t>
            </w:r>
            <w:r w:rsidRPr="00BF30BE">
              <w:rPr>
                <w:rFonts w:ascii="Arial Narrow" w:eastAsia="Arial" w:hAnsi="Arial Narrow" w:cs="Arial"/>
                <w:b/>
                <w:sz w:val="22"/>
              </w:rPr>
              <w:t>.0</w:t>
            </w:r>
            <w:r>
              <w:rPr>
                <w:rFonts w:eastAsia="Arial" w:cs="Arial"/>
                <w:sz w:val="22"/>
              </w:rPr>
              <w:t xml:space="preserve"> </w:t>
            </w:r>
            <w:r w:rsidRPr="00BF30BE">
              <w:rPr>
                <w:rFonts w:ascii="Arial Narrow" w:hAnsi="Arial Narrow" w:cs="Arial"/>
                <w:b/>
                <w:szCs w:val="24"/>
              </w:rPr>
              <w:t xml:space="preserve">The organisation is fully committed to partnership working as part of statutory duties to safeguard children, </w:t>
            </w:r>
            <w:proofErr w:type="gramStart"/>
            <w:r w:rsidRPr="00BF30BE">
              <w:rPr>
                <w:rFonts w:ascii="Arial Narrow" w:hAnsi="Arial Narrow" w:cs="Arial"/>
                <w:b/>
                <w:szCs w:val="24"/>
              </w:rPr>
              <w:t>families</w:t>
            </w:r>
            <w:proofErr w:type="gramEnd"/>
            <w:r w:rsidRPr="00BF30BE">
              <w:rPr>
                <w:rFonts w:ascii="Arial Narrow" w:hAnsi="Arial Narrow" w:cs="Arial"/>
                <w:b/>
                <w:szCs w:val="24"/>
              </w:rPr>
              <w:t xml:space="preserve"> and adults at risk</w:t>
            </w:r>
            <w:r>
              <w:rPr>
                <w:rFonts w:cs="Arial"/>
                <w:b/>
                <w:sz w:val="18"/>
                <w:szCs w:val="18"/>
              </w:rPr>
              <w:t xml:space="preserve"> </w:t>
            </w:r>
          </w:p>
        </w:tc>
        <w:tc>
          <w:tcPr>
            <w:tcW w:w="8240" w:type="dxa"/>
            <w:gridSpan w:val="2"/>
          </w:tcPr>
          <w:p w14:paraId="363DCD94" w14:textId="77777777" w:rsidR="00CB3CFD" w:rsidRDefault="002B26E7" w:rsidP="00CB3CFD">
            <w:pPr>
              <w:spacing w:after="120"/>
              <w:rPr>
                <w:rFonts w:ascii="Arial Narrow" w:hAnsi="Arial Narrow" w:cs="Arial"/>
                <w:sz w:val="20"/>
                <w:szCs w:val="20"/>
              </w:rPr>
            </w:pPr>
            <w:r>
              <w:rPr>
                <w:rFonts w:ascii="Arial Narrow" w:hAnsi="Arial Narrow" w:cs="Arial"/>
                <w:sz w:val="20"/>
                <w:szCs w:val="20"/>
              </w:rPr>
              <w:t>5A</w:t>
            </w:r>
            <w:r w:rsidR="00CB3CFD">
              <w:rPr>
                <w:rFonts w:ascii="Arial Narrow" w:hAnsi="Arial Narrow" w:cs="Arial"/>
                <w:sz w:val="20"/>
                <w:szCs w:val="20"/>
              </w:rPr>
              <w:t>.     The Practice has a process in place to manage requests for primary care information for safeguarding purposes including:</w:t>
            </w:r>
          </w:p>
          <w:p w14:paraId="7C04694C" w14:textId="77777777" w:rsidR="00CB3CFD" w:rsidRPr="00EC03D3" w:rsidRDefault="00CB3CFD" w:rsidP="00CB3CFD">
            <w:pPr>
              <w:pStyle w:val="ListParagraph"/>
              <w:numPr>
                <w:ilvl w:val="0"/>
                <w:numId w:val="38"/>
              </w:numPr>
              <w:spacing w:after="120"/>
              <w:rPr>
                <w:rFonts w:cs="Arial"/>
                <w:sz w:val="22"/>
              </w:rPr>
            </w:pPr>
            <w:r>
              <w:rPr>
                <w:rFonts w:ascii="Arial Narrow" w:hAnsi="Arial Narrow" w:cs="Arial"/>
                <w:sz w:val="20"/>
                <w:szCs w:val="20"/>
              </w:rPr>
              <w:t>Ensuring a Timely response</w:t>
            </w:r>
          </w:p>
          <w:p w14:paraId="50489433" w14:textId="2F8C7054" w:rsidR="00CB3CFD" w:rsidRPr="00CB3CFD" w:rsidRDefault="00CB3CFD" w:rsidP="00CB3CFD">
            <w:pPr>
              <w:pStyle w:val="ListParagraph"/>
              <w:numPr>
                <w:ilvl w:val="0"/>
                <w:numId w:val="38"/>
              </w:numPr>
              <w:spacing w:after="120"/>
              <w:rPr>
                <w:rFonts w:cs="Arial"/>
                <w:sz w:val="22"/>
              </w:rPr>
            </w:pPr>
            <w:r w:rsidRPr="00CB3CFD">
              <w:rPr>
                <w:rFonts w:ascii="Arial Narrow" w:hAnsi="Arial Narrow" w:cs="Arial"/>
                <w:sz w:val="20"/>
                <w:szCs w:val="20"/>
              </w:rPr>
              <w:t>Sharing of relevant and proportionate safeguarding (</w:t>
            </w:r>
            <w:r w:rsidRPr="00CB3CFD">
              <w:rPr>
                <w:rFonts w:ascii="Arial Narrow" w:hAnsi="Arial Narrow" w:cs="Arial"/>
                <w:sz w:val="20"/>
                <w:szCs w:val="20"/>
                <w:u w:val="single"/>
              </w:rPr>
              <w:t>primary care</w:t>
            </w:r>
            <w:r w:rsidR="000B1C23">
              <w:rPr>
                <w:rFonts w:ascii="Arial Narrow" w:hAnsi="Arial Narrow" w:cs="Arial"/>
                <w:sz w:val="20"/>
                <w:szCs w:val="20"/>
                <w:u w:val="single"/>
              </w:rPr>
              <w:t xml:space="preserve"> </w:t>
            </w:r>
            <w:r w:rsidR="00E10AE7">
              <w:rPr>
                <w:rFonts w:ascii="Arial Narrow" w:hAnsi="Arial Narrow" w:cs="Arial"/>
                <w:sz w:val="20"/>
                <w:szCs w:val="20"/>
                <w:u w:val="single"/>
              </w:rPr>
              <w:t>owned</w:t>
            </w:r>
            <w:r w:rsidRPr="00CB3CFD">
              <w:rPr>
                <w:rFonts w:ascii="Arial Narrow" w:hAnsi="Arial Narrow" w:cs="Arial"/>
                <w:sz w:val="20"/>
                <w:szCs w:val="20"/>
              </w:rPr>
              <w:t>) information about Children and Adults at Risk with appropriate multi-disciplinary professionals as required</w:t>
            </w:r>
            <w:r>
              <w:rPr>
                <w:rFonts w:ascii="Arial Narrow" w:hAnsi="Arial Narrow" w:cs="Arial"/>
                <w:sz w:val="20"/>
                <w:szCs w:val="20"/>
              </w:rPr>
              <w:t>.</w:t>
            </w:r>
          </w:p>
          <w:p w14:paraId="64A97CD1" w14:textId="77777777" w:rsidR="00B1660E" w:rsidRPr="00B1660E" w:rsidRDefault="00CB3CFD" w:rsidP="000B1C23">
            <w:pPr>
              <w:pStyle w:val="ListParagraph"/>
              <w:numPr>
                <w:ilvl w:val="0"/>
                <w:numId w:val="38"/>
              </w:numPr>
              <w:spacing w:after="120"/>
              <w:rPr>
                <w:rFonts w:cs="Arial"/>
                <w:sz w:val="22"/>
              </w:rPr>
            </w:pPr>
            <w:r w:rsidRPr="00E14421">
              <w:rPr>
                <w:rFonts w:ascii="Arial Narrow" w:hAnsi="Arial Narrow" w:cs="Arial"/>
                <w:sz w:val="20"/>
                <w:szCs w:val="20"/>
              </w:rPr>
              <w:t xml:space="preserve">Ensuring sharing safeguarding information is in line with legislation (legal basis of sharing information) and with consideration of consent/overriding consent.  </w:t>
            </w:r>
          </w:p>
          <w:p w14:paraId="4676638A" w14:textId="756CA958" w:rsidR="002B26E7" w:rsidRPr="000B1C23" w:rsidRDefault="00CB3CFD" w:rsidP="000B1C23">
            <w:pPr>
              <w:pStyle w:val="ListParagraph"/>
              <w:numPr>
                <w:ilvl w:val="0"/>
                <w:numId w:val="38"/>
              </w:numPr>
              <w:spacing w:after="120"/>
              <w:rPr>
                <w:rFonts w:cs="Arial"/>
                <w:sz w:val="22"/>
              </w:rPr>
            </w:pPr>
            <w:r w:rsidRPr="000B1C23">
              <w:rPr>
                <w:rFonts w:ascii="Arial Narrow" w:hAnsi="Arial Narrow" w:cs="Arial"/>
                <w:sz w:val="20"/>
                <w:szCs w:val="20"/>
              </w:rPr>
              <w:t>Accurate recording of 'what was shared and why' in primary care records</w:t>
            </w:r>
          </w:p>
        </w:tc>
        <w:tc>
          <w:tcPr>
            <w:tcW w:w="1060" w:type="dxa"/>
            <w:gridSpan w:val="2"/>
          </w:tcPr>
          <w:p w14:paraId="46D579BA" w14:textId="77777777" w:rsidR="002B26E7" w:rsidRDefault="002B26E7" w:rsidP="00732F3A">
            <w:pPr>
              <w:spacing w:after="120"/>
              <w:rPr>
                <w:rFonts w:cs="Arial"/>
                <w:sz w:val="22"/>
              </w:rPr>
            </w:pPr>
          </w:p>
        </w:tc>
        <w:tc>
          <w:tcPr>
            <w:tcW w:w="3013" w:type="dxa"/>
          </w:tcPr>
          <w:p w14:paraId="06ABB12F" w14:textId="77777777" w:rsidR="002B26E7" w:rsidRDefault="002B26E7" w:rsidP="00732F3A">
            <w:pPr>
              <w:spacing w:after="120"/>
              <w:rPr>
                <w:rFonts w:cs="Arial"/>
                <w:sz w:val="22"/>
              </w:rPr>
            </w:pPr>
          </w:p>
        </w:tc>
      </w:tr>
      <w:tr w:rsidR="002B26E7" w14:paraId="42E83160" w14:textId="77777777" w:rsidTr="00840E90">
        <w:tc>
          <w:tcPr>
            <w:tcW w:w="2963" w:type="dxa"/>
            <w:vMerge/>
          </w:tcPr>
          <w:p w14:paraId="6FE85044" w14:textId="77777777" w:rsidR="002B26E7" w:rsidRPr="00375FE7" w:rsidRDefault="002B26E7" w:rsidP="00375FE7">
            <w:pPr>
              <w:widowControl w:val="0"/>
              <w:spacing w:line="256" w:lineRule="auto"/>
              <w:ind w:right="25"/>
              <w:rPr>
                <w:rFonts w:cs="Arial"/>
                <w:b/>
                <w:sz w:val="18"/>
                <w:szCs w:val="18"/>
                <w:lang w:val="en-US"/>
              </w:rPr>
            </w:pPr>
          </w:p>
        </w:tc>
        <w:tc>
          <w:tcPr>
            <w:tcW w:w="8240" w:type="dxa"/>
            <w:gridSpan w:val="2"/>
          </w:tcPr>
          <w:p w14:paraId="74891225" w14:textId="6E11AFB6" w:rsidR="002B26E7" w:rsidRDefault="002B26E7" w:rsidP="002A7E60">
            <w:pPr>
              <w:spacing w:after="120"/>
              <w:rPr>
                <w:rFonts w:cs="Arial"/>
                <w:sz w:val="22"/>
              </w:rPr>
            </w:pPr>
            <w:r>
              <w:rPr>
                <w:rFonts w:ascii="Arial Narrow" w:hAnsi="Arial Narrow" w:cs="Arial"/>
                <w:sz w:val="20"/>
                <w:szCs w:val="20"/>
              </w:rPr>
              <w:t>5B.     A</w:t>
            </w:r>
            <w:r w:rsidRPr="007D2055">
              <w:rPr>
                <w:rFonts w:ascii="Arial Narrow" w:hAnsi="Arial Narrow" w:cs="Arial"/>
                <w:sz w:val="20"/>
                <w:szCs w:val="20"/>
              </w:rPr>
              <w:t xml:space="preserve"> process</w:t>
            </w:r>
            <w:r>
              <w:rPr>
                <w:rFonts w:ascii="Arial Narrow" w:hAnsi="Arial Narrow" w:cs="Arial"/>
                <w:sz w:val="20"/>
                <w:szCs w:val="20"/>
              </w:rPr>
              <w:t xml:space="preserve"> is </w:t>
            </w:r>
            <w:r w:rsidRPr="007D2055">
              <w:rPr>
                <w:rFonts w:ascii="Arial Narrow" w:hAnsi="Arial Narrow" w:cs="Arial"/>
                <w:sz w:val="20"/>
                <w:szCs w:val="20"/>
              </w:rPr>
              <w:t>in place</w:t>
            </w:r>
            <w:r>
              <w:rPr>
                <w:rFonts w:ascii="Arial Narrow" w:hAnsi="Arial Narrow" w:cs="Arial"/>
                <w:sz w:val="20"/>
                <w:szCs w:val="20"/>
              </w:rPr>
              <w:t xml:space="preserve"> and staff understand their responsibilities</w:t>
            </w:r>
            <w:r w:rsidRPr="007D2055">
              <w:rPr>
                <w:rFonts w:ascii="Arial Narrow" w:hAnsi="Arial Narrow" w:cs="Arial"/>
                <w:sz w:val="20"/>
                <w:szCs w:val="20"/>
              </w:rPr>
              <w:t xml:space="preserve"> to manage requests for attendance at Child Protection Conferences and requests for Child Protection Conference Reports</w:t>
            </w:r>
            <w:r>
              <w:rPr>
                <w:rFonts w:ascii="Arial Narrow" w:hAnsi="Arial Narrow" w:cs="Arial"/>
                <w:sz w:val="20"/>
                <w:szCs w:val="20"/>
              </w:rPr>
              <w:t>, (</w:t>
            </w:r>
            <w:r w:rsidRPr="00B86F94">
              <w:rPr>
                <w:rFonts w:ascii="Arial Narrow" w:hAnsi="Arial Narrow" w:cs="Arial"/>
                <w:b/>
                <w:bCs/>
                <w:sz w:val="20"/>
                <w:szCs w:val="20"/>
              </w:rPr>
              <w:t>AND</w:t>
            </w:r>
            <w:r>
              <w:rPr>
                <w:rFonts w:ascii="Arial Narrow" w:hAnsi="Arial Narrow" w:cs="Arial"/>
                <w:sz w:val="20"/>
                <w:szCs w:val="20"/>
              </w:rPr>
              <w:t xml:space="preserve"> Adult equivalents) and to ensure a timely response</w:t>
            </w:r>
          </w:p>
        </w:tc>
        <w:tc>
          <w:tcPr>
            <w:tcW w:w="1060" w:type="dxa"/>
            <w:gridSpan w:val="2"/>
          </w:tcPr>
          <w:p w14:paraId="498A139F" w14:textId="77777777" w:rsidR="002B26E7" w:rsidRDefault="002B26E7" w:rsidP="00732F3A">
            <w:pPr>
              <w:spacing w:after="120"/>
              <w:rPr>
                <w:rFonts w:cs="Arial"/>
                <w:sz w:val="22"/>
              </w:rPr>
            </w:pPr>
          </w:p>
        </w:tc>
        <w:tc>
          <w:tcPr>
            <w:tcW w:w="3013" w:type="dxa"/>
          </w:tcPr>
          <w:p w14:paraId="511F901B" w14:textId="77777777" w:rsidR="002B26E7" w:rsidRDefault="002B26E7" w:rsidP="00732F3A">
            <w:pPr>
              <w:spacing w:after="120"/>
              <w:rPr>
                <w:rFonts w:cs="Arial"/>
                <w:sz w:val="22"/>
              </w:rPr>
            </w:pPr>
          </w:p>
        </w:tc>
      </w:tr>
      <w:tr w:rsidR="002B26E7" w14:paraId="1FB65CA8" w14:textId="77777777" w:rsidTr="004724B4">
        <w:tc>
          <w:tcPr>
            <w:tcW w:w="2963" w:type="dxa"/>
            <w:vMerge/>
          </w:tcPr>
          <w:p w14:paraId="60BB1A59" w14:textId="77777777" w:rsidR="002B26E7" w:rsidRPr="00375FE7" w:rsidRDefault="002B26E7" w:rsidP="00375FE7">
            <w:pPr>
              <w:widowControl w:val="0"/>
              <w:spacing w:line="256" w:lineRule="auto"/>
              <w:ind w:right="25"/>
              <w:rPr>
                <w:rFonts w:cs="Arial"/>
                <w:b/>
                <w:sz w:val="18"/>
                <w:szCs w:val="18"/>
                <w:lang w:val="en-US"/>
              </w:rPr>
            </w:pPr>
          </w:p>
        </w:tc>
        <w:tc>
          <w:tcPr>
            <w:tcW w:w="8240" w:type="dxa"/>
            <w:gridSpan w:val="2"/>
          </w:tcPr>
          <w:p w14:paraId="52741C49" w14:textId="4C5ACA68" w:rsidR="002B26E7" w:rsidRDefault="002B26E7" w:rsidP="002A7E60">
            <w:pPr>
              <w:spacing w:after="120"/>
              <w:rPr>
                <w:rFonts w:cs="Arial"/>
                <w:sz w:val="22"/>
              </w:rPr>
            </w:pPr>
            <w:r>
              <w:rPr>
                <w:rFonts w:ascii="Arial Narrow" w:hAnsi="Arial Narrow" w:cs="Arial"/>
                <w:sz w:val="20"/>
                <w:szCs w:val="20"/>
              </w:rPr>
              <w:t xml:space="preserve">5C.    </w:t>
            </w:r>
            <w:r w:rsidRPr="000D7710">
              <w:rPr>
                <w:rFonts w:ascii="Arial Narrow" w:hAnsi="Arial Narrow" w:cs="Arial"/>
                <w:sz w:val="20"/>
                <w:szCs w:val="20"/>
              </w:rPr>
              <w:t xml:space="preserve">The </w:t>
            </w:r>
            <w:r>
              <w:rPr>
                <w:rFonts w:ascii="Arial Narrow" w:hAnsi="Arial Narrow" w:cs="Arial"/>
                <w:sz w:val="20"/>
                <w:szCs w:val="20"/>
              </w:rPr>
              <w:t>P</w:t>
            </w:r>
            <w:r w:rsidRPr="000D7710">
              <w:rPr>
                <w:rFonts w:ascii="Arial Narrow" w:hAnsi="Arial Narrow" w:cs="Arial"/>
                <w:sz w:val="20"/>
                <w:szCs w:val="20"/>
              </w:rPr>
              <w:t xml:space="preserve">ractice ensures that no </w:t>
            </w:r>
            <w:r>
              <w:rPr>
                <w:rFonts w:ascii="Arial Narrow" w:hAnsi="Arial Narrow" w:cs="Arial"/>
                <w:sz w:val="20"/>
                <w:szCs w:val="20"/>
              </w:rPr>
              <w:t>C</w:t>
            </w:r>
            <w:r w:rsidRPr="000D7710">
              <w:rPr>
                <w:rFonts w:ascii="Arial Narrow" w:hAnsi="Arial Narrow" w:cs="Arial"/>
                <w:sz w:val="20"/>
                <w:szCs w:val="20"/>
              </w:rPr>
              <w:t xml:space="preserve">hild </w:t>
            </w:r>
            <w:r>
              <w:rPr>
                <w:rFonts w:ascii="Arial Narrow" w:hAnsi="Arial Narrow" w:cs="Arial"/>
                <w:sz w:val="20"/>
                <w:szCs w:val="20"/>
              </w:rPr>
              <w:t xml:space="preserve">or Adult at Risk </w:t>
            </w:r>
            <w:r w:rsidRPr="000D7710">
              <w:rPr>
                <w:rFonts w:ascii="Arial Narrow" w:hAnsi="Arial Narrow" w:cs="Arial"/>
                <w:sz w:val="20"/>
                <w:szCs w:val="20"/>
              </w:rPr>
              <w:t xml:space="preserve">is removed from the </w:t>
            </w:r>
            <w:r>
              <w:rPr>
                <w:rFonts w:ascii="Arial Narrow" w:hAnsi="Arial Narrow" w:cs="Arial"/>
                <w:sz w:val="20"/>
                <w:szCs w:val="20"/>
              </w:rPr>
              <w:t>P</w:t>
            </w:r>
            <w:r w:rsidRPr="000D7710">
              <w:rPr>
                <w:rFonts w:ascii="Arial Narrow" w:hAnsi="Arial Narrow" w:cs="Arial"/>
                <w:sz w:val="20"/>
                <w:szCs w:val="20"/>
              </w:rPr>
              <w:t xml:space="preserve">ractice list </w:t>
            </w:r>
            <w:r>
              <w:rPr>
                <w:rFonts w:ascii="Arial Narrow" w:hAnsi="Arial Narrow" w:cs="Arial"/>
                <w:sz w:val="20"/>
                <w:szCs w:val="20"/>
              </w:rPr>
              <w:t xml:space="preserve">by the Practice before careful consideration, by a clinician, of their vulnerabilities and any risk factors present in their family, </w:t>
            </w:r>
            <w:r w:rsidRPr="009867C1">
              <w:rPr>
                <w:rFonts w:ascii="Arial Narrow" w:hAnsi="Arial Narrow" w:cs="Arial"/>
                <w:b/>
                <w:bCs/>
                <w:sz w:val="20"/>
                <w:szCs w:val="20"/>
              </w:rPr>
              <w:t>AND</w:t>
            </w:r>
            <w:r>
              <w:rPr>
                <w:rFonts w:ascii="Arial Narrow" w:hAnsi="Arial Narrow" w:cs="Arial"/>
                <w:sz w:val="20"/>
                <w:szCs w:val="20"/>
              </w:rPr>
              <w:t xml:space="preserve"> should such a patient be removed, a </w:t>
            </w:r>
            <w:r w:rsidR="003E6FCA">
              <w:rPr>
                <w:rFonts w:ascii="Arial Narrow" w:hAnsi="Arial Narrow" w:cs="Arial"/>
                <w:sz w:val="20"/>
                <w:szCs w:val="20"/>
              </w:rPr>
              <w:t>keyworker</w:t>
            </w:r>
            <w:r>
              <w:rPr>
                <w:rFonts w:ascii="Arial Narrow" w:hAnsi="Arial Narrow" w:cs="Arial"/>
                <w:sz w:val="20"/>
                <w:szCs w:val="20"/>
              </w:rPr>
              <w:t xml:space="preserve"> from another statutory agency is informed, and that this is reflected in the practice safeguarding policy.</w:t>
            </w:r>
          </w:p>
        </w:tc>
        <w:tc>
          <w:tcPr>
            <w:tcW w:w="1060" w:type="dxa"/>
            <w:gridSpan w:val="2"/>
          </w:tcPr>
          <w:p w14:paraId="4B6DF130" w14:textId="77777777" w:rsidR="002B26E7" w:rsidRDefault="002B26E7" w:rsidP="00732F3A">
            <w:pPr>
              <w:spacing w:after="120"/>
              <w:rPr>
                <w:rFonts w:cs="Arial"/>
                <w:sz w:val="22"/>
              </w:rPr>
            </w:pPr>
          </w:p>
        </w:tc>
        <w:tc>
          <w:tcPr>
            <w:tcW w:w="3013" w:type="dxa"/>
          </w:tcPr>
          <w:p w14:paraId="53CAA204" w14:textId="77777777" w:rsidR="002B26E7" w:rsidRDefault="002B26E7" w:rsidP="00732F3A">
            <w:pPr>
              <w:spacing w:after="120"/>
              <w:rPr>
                <w:rFonts w:cs="Arial"/>
                <w:sz w:val="22"/>
              </w:rPr>
            </w:pPr>
          </w:p>
        </w:tc>
      </w:tr>
      <w:tr w:rsidR="000B1C23" w14:paraId="698C8A3D" w14:textId="77777777" w:rsidTr="005F0D37">
        <w:tc>
          <w:tcPr>
            <w:tcW w:w="2963" w:type="dxa"/>
            <w:vMerge/>
          </w:tcPr>
          <w:p w14:paraId="68D96FB9" w14:textId="77777777" w:rsidR="000B1C23" w:rsidRPr="00375FE7" w:rsidRDefault="000B1C23" w:rsidP="000B1C23">
            <w:pPr>
              <w:widowControl w:val="0"/>
              <w:spacing w:line="256" w:lineRule="auto"/>
              <w:ind w:right="25"/>
              <w:rPr>
                <w:rFonts w:cs="Arial"/>
                <w:b/>
                <w:sz w:val="18"/>
                <w:szCs w:val="18"/>
                <w:lang w:val="en-US"/>
              </w:rPr>
            </w:pPr>
          </w:p>
        </w:tc>
        <w:tc>
          <w:tcPr>
            <w:tcW w:w="8240" w:type="dxa"/>
            <w:gridSpan w:val="2"/>
          </w:tcPr>
          <w:p w14:paraId="2C9925E2" w14:textId="5C3422AE" w:rsidR="000B1C23" w:rsidRDefault="000B1C23" w:rsidP="000B1C23">
            <w:pPr>
              <w:spacing w:after="120"/>
              <w:rPr>
                <w:rFonts w:cs="Arial"/>
                <w:sz w:val="22"/>
              </w:rPr>
            </w:pPr>
            <w:r>
              <w:rPr>
                <w:rFonts w:ascii="Arial Narrow" w:hAnsi="Arial Narrow" w:cs="Arial"/>
                <w:sz w:val="20"/>
                <w:szCs w:val="20"/>
              </w:rPr>
              <w:t xml:space="preserve">5D.    The Practice </w:t>
            </w:r>
            <w:proofErr w:type="gramStart"/>
            <w:r>
              <w:rPr>
                <w:rFonts w:ascii="Arial Narrow" w:hAnsi="Arial Narrow" w:cs="Arial"/>
                <w:sz w:val="20"/>
                <w:szCs w:val="20"/>
              </w:rPr>
              <w:t>is able to</w:t>
            </w:r>
            <w:proofErr w:type="gramEnd"/>
            <w:r>
              <w:rPr>
                <w:rFonts w:ascii="Arial Narrow" w:hAnsi="Arial Narrow" w:cs="Arial"/>
                <w:sz w:val="20"/>
                <w:szCs w:val="20"/>
              </w:rPr>
              <w:t xml:space="preserve"> demonstrate how it adheres to the responsibilities to provide timely patient information to statutory review processes such as Local Safeguarding children practice reviews Domestic Homicide Reviews, Child Death Reviews Safeguarding Adults Reviews</w:t>
            </w:r>
            <w:r w:rsidR="009318C7">
              <w:rPr>
                <w:rFonts w:ascii="Arial Narrow" w:hAnsi="Arial Narrow" w:cs="Arial"/>
                <w:sz w:val="20"/>
                <w:szCs w:val="20"/>
              </w:rPr>
              <w:t xml:space="preserve">, </w:t>
            </w:r>
            <w:proofErr w:type="spellStart"/>
            <w:r w:rsidR="009318C7">
              <w:rPr>
                <w:rFonts w:ascii="Arial Narrow" w:hAnsi="Arial Narrow" w:cs="Arial"/>
                <w:sz w:val="20"/>
                <w:szCs w:val="20"/>
              </w:rPr>
              <w:t>LeDeR</w:t>
            </w:r>
            <w:proofErr w:type="spellEnd"/>
            <w:r>
              <w:rPr>
                <w:rFonts w:ascii="Arial Narrow" w:hAnsi="Arial Narrow" w:cs="Arial"/>
                <w:sz w:val="20"/>
                <w:szCs w:val="20"/>
              </w:rPr>
              <w:t xml:space="preserve"> and others</w:t>
            </w:r>
            <w:r w:rsidR="009318C7">
              <w:rPr>
                <w:rFonts w:ascii="Arial Narrow" w:hAnsi="Arial Narrow" w:cs="Arial"/>
                <w:sz w:val="20"/>
                <w:szCs w:val="20"/>
              </w:rPr>
              <w:t xml:space="preserve">. </w:t>
            </w:r>
          </w:p>
        </w:tc>
        <w:tc>
          <w:tcPr>
            <w:tcW w:w="1060" w:type="dxa"/>
            <w:gridSpan w:val="2"/>
          </w:tcPr>
          <w:p w14:paraId="0A4F0E1F" w14:textId="77777777" w:rsidR="000B1C23" w:rsidRDefault="000B1C23" w:rsidP="000B1C23">
            <w:pPr>
              <w:spacing w:after="120"/>
              <w:rPr>
                <w:rFonts w:cs="Arial"/>
                <w:sz w:val="22"/>
              </w:rPr>
            </w:pPr>
          </w:p>
        </w:tc>
        <w:tc>
          <w:tcPr>
            <w:tcW w:w="3013" w:type="dxa"/>
          </w:tcPr>
          <w:p w14:paraId="15DD6586" w14:textId="77777777" w:rsidR="000B1C23" w:rsidRDefault="000B1C23" w:rsidP="000B1C23">
            <w:pPr>
              <w:spacing w:after="120"/>
              <w:rPr>
                <w:rFonts w:cs="Arial"/>
                <w:sz w:val="22"/>
              </w:rPr>
            </w:pPr>
          </w:p>
        </w:tc>
      </w:tr>
      <w:tr w:rsidR="000B1C23" w:rsidRPr="00DB4395" w14:paraId="4E20845A" w14:textId="77777777" w:rsidTr="0075625E">
        <w:tc>
          <w:tcPr>
            <w:tcW w:w="15276" w:type="dxa"/>
            <w:gridSpan w:val="6"/>
            <w:shd w:val="clear" w:color="auto" w:fill="DBE5F1" w:themeFill="accent1" w:themeFillTint="33"/>
          </w:tcPr>
          <w:p w14:paraId="4FA027B7" w14:textId="77777777" w:rsidR="000B1C23" w:rsidRPr="007E6EAD" w:rsidRDefault="000B1C23" w:rsidP="000B1C23">
            <w:pPr>
              <w:spacing w:before="120" w:after="120"/>
              <w:jc w:val="center"/>
              <w:rPr>
                <w:rFonts w:cs="Arial"/>
                <w:b/>
                <w:szCs w:val="24"/>
              </w:rPr>
            </w:pPr>
            <w:r w:rsidRPr="007E6EAD">
              <w:rPr>
                <w:rFonts w:cs="Arial"/>
                <w:b/>
                <w:szCs w:val="24"/>
              </w:rPr>
              <w:t>Staff Recruitment</w:t>
            </w:r>
          </w:p>
        </w:tc>
      </w:tr>
      <w:tr w:rsidR="000B1C23" w:rsidRPr="00E31C38" w14:paraId="0A1F599B" w14:textId="77777777" w:rsidTr="00D54B16">
        <w:tc>
          <w:tcPr>
            <w:tcW w:w="2963" w:type="dxa"/>
            <w:shd w:val="clear" w:color="auto" w:fill="B8CCE4" w:themeFill="accent1" w:themeFillTint="66"/>
          </w:tcPr>
          <w:p w14:paraId="5082479D" w14:textId="77777777" w:rsidR="000B1C23" w:rsidRPr="00E31C38" w:rsidRDefault="000B1C23" w:rsidP="000B1C23">
            <w:pPr>
              <w:spacing w:after="120"/>
              <w:jc w:val="center"/>
              <w:rPr>
                <w:rFonts w:cs="Arial"/>
                <w:b/>
                <w:sz w:val="22"/>
              </w:rPr>
            </w:pPr>
            <w:r w:rsidRPr="00C636CB">
              <w:rPr>
                <w:rFonts w:cs="Arial"/>
                <w:b/>
                <w:color w:val="FF0000"/>
                <w:sz w:val="22"/>
              </w:rPr>
              <w:t>Overarching Standard</w:t>
            </w:r>
          </w:p>
        </w:tc>
        <w:tc>
          <w:tcPr>
            <w:tcW w:w="8240" w:type="dxa"/>
            <w:gridSpan w:val="2"/>
            <w:shd w:val="clear" w:color="auto" w:fill="B8CCE4" w:themeFill="accent1" w:themeFillTint="66"/>
          </w:tcPr>
          <w:p w14:paraId="0D3E805F" w14:textId="50FB10E9" w:rsidR="000B1C23" w:rsidRPr="00597038" w:rsidRDefault="000B1C23" w:rsidP="000B1C23">
            <w:pPr>
              <w:spacing w:before="120" w:after="120"/>
              <w:jc w:val="center"/>
              <w:rPr>
                <w:rFonts w:cs="Arial"/>
                <w:b/>
                <w:sz w:val="18"/>
                <w:szCs w:val="18"/>
              </w:rPr>
            </w:pPr>
            <w:r w:rsidRPr="00E31C38">
              <w:rPr>
                <w:rFonts w:cs="Arial"/>
                <w:b/>
                <w:sz w:val="22"/>
              </w:rPr>
              <w:t>Components of standard</w:t>
            </w:r>
          </w:p>
        </w:tc>
        <w:tc>
          <w:tcPr>
            <w:tcW w:w="1060" w:type="dxa"/>
            <w:gridSpan w:val="2"/>
            <w:shd w:val="clear" w:color="auto" w:fill="B8CCE4" w:themeFill="accent1" w:themeFillTint="66"/>
          </w:tcPr>
          <w:p w14:paraId="31CF7828" w14:textId="77777777" w:rsidR="000B1C23" w:rsidRPr="00E31C38" w:rsidRDefault="000B1C23" w:rsidP="000B1C23">
            <w:pPr>
              <w:spacing w:after="120"/>
              <w:jc w:val="center"/>
              <w:rPr>
                <w:rFonts w:cs="Arial"/>
                <w:b/>
                <w:sz w:val="22"/>
              </w:rPr>
            </w:pPr>
            <w:r w:rsidRPr="00E31C38">
              <w:rPr>
                <w:rFonts w:cs="Arial"/>
                <w:b/>
                <w:sz w:val="22"/>
              </w:rPr>
              <w:t>Rag Rating</w:t>
            </w:r>
          </w:p>
        </w:tc>
        <w:tc>
          <w:tcPr>
            <w:tcW w:w="3013" w:type="dxa"/>
            <w:shd w:val="clear" w:color="auto" w:fill="B8CCE4" w:themeFill="accent1" w:themeFillTint="66"/>
          </w:tcPr>
          <w:p w14:paraId="7F41607B" w14:textId="77777777" w:rsidR="000B1C23" w:rsidRPr="00E31C38" w:rsidRDefault="000B1C23" w:rsidP="000B1C23">
            <w:pPr>
              <w:spacing w:after="120"/>
              <w:jc w:val="center"/>
              <w:rPr>
                <w:rFonts w:cs="Arial"/>
                <w:b/>
                <w:sz w:val="22"/>
              </w:rPr>
            </w:pPr>
            <w:r w:rsidRPr="00E31C38">
              <w:rPr>
                <w:rFonts w:cs="Arial"/>
                <w:b/>
                <w:sz w:val="22"/>
              </w:rPr>
              <w:t>Comments/actions</w:t>
            </w:r>
            <w:r>
              <w:rPr>
                <w:rFonts w:cs="Arial"/>
                <w:b/>
                <w:sz w:val="22"/>
              </w:rPr>
              <w:t xml:space="preserve"> by the organisation to address any areas of amber/red</w:t>
            </w:r>
          </w:p>
        </w:tc>
      </w:tr>
      <w:tr w:rsidR="00622FD1" w14:paraId="50E5A8B8" w14:textId="77777777" w:rsidTr="00FE5222">
        <w:tc>
          <w:tcPr>
            <w:tcW w:w="2963" w:type="dxa"/>
            <w:vMerge w:val="restart"/>
          </w:tcPr>
          <w:p w14:paraId="6FBD39CA" w14:textId="77777777" w:rsidR="00622FD1" w:rsidRPr="00BF30BE" w:rsidRDefault="00622FD1" w:rsidP="000B1C23">
            <w:pPr>
              <w:widowControl w:val="0"/>
              <w:spacing w:line="256" w:lineRule="auto"/>
              <w:ind w:left="426" w:right="25" w:hanging="426"/>
              <w:rPr>
                <w:rFonts w:ascii="Arial Narrow" w:eastAsia="Arial" w:hAnsi="Arial Narrow" w:cs="Arial"/>
                <w:b/>
                <w:sz w:val="22"/>
              </w:rPr>
            </w:pPr>
            <w:r>
              <w:rPr>
                <w:rFonts w:ascii="Arial Narrow" w:eastAsia="Arial" w:hAnsi="Arial Narrow" w:cs="Arial"/>
                <w:b/>
                <w:sz w:val="22"/>
              </w:rPr>
              <w:t>6</w:t>
            </w:r>
            <w:r w:rsidRPr="00BF30BE">
              <w:rPr>
                <w:rFonts w:ascii="Arial Narrow" w:eastAsia="Arial" w:hAnsi="Arial Narrow" w:cs="Arial"/>
                <w:b/>
                <w:sz w:val="22"/>
              </w:rPr>
              <w:t xml:space="preserve">.0 </w:t>
            </w:r>
            <w:r>
              <w:rPr>
                <w:rFonts w:ascii="Arial Narrow" w:eastAsia="Arial" w:hAnsi="Arial Narrow" w:cs="Arial"/>
                <w:b/>
                <w:sz w:val="22"/>
              </w:rPr>
              <w:t xml:space="preserve">   </w:t>
            </w:r>
            <w:r w:rsidRPr="00BF30BE">
              <w:rPr>
                <w:rFonts w:ascii="Arial Narrow" w:eastAsia="Arial" w:hAnsi="Arial Narrow" w:cs="Arial"/>
                <w:b/>
                <w:sz w:val="22"/>
              </w:rPr>
              <w:t xml:space="preserve">The Practice adheres to safe recruitment processes </w:t>
            </w:r>
            <w:r w:rsidRPr="00BF30BE">
              <w:rPr>
                <w:rFonts w:ascii="Arial Narrow" w:eastAsiaTheme="minorEastAsia" w:hAnsi="Arial Narrow" w:cs="Arial"/>
                <w:b/>
                <w:sz w:val="22"/>
                <w:lang w:val="en-US" w:eastAsia="en-GB"/>
              </w:rPr>
              <w:t xml:space="preserve">line with contemporary national guidance and legislation </w:t>
            </w:r>
          </w:p>
        </w:tc>
        <w:tc>
          <w:tcPr>
            <w:tcW w:w="8240" w:type="dxa"/>
            <w:gridSpan w:val="2"/>
          </w:tcPr>
          <w:p w14:paraId="5BB1BEF6" w14:textId="2F342138" w:rsidR="00622FD1" w:rsidRPr="00141A67" w:rsidRDefault="00622FD1" w:rsidP="000B1C23">
            <w:pPr>
              <w:spacing w:after="120"/>
              <w:rPr>
                <w:rFonts w:cs="Arial"/>
                <w:sz w:val="22"/>
              </w:rPr>
            </w:pPr>
            <w:r w:rsidRPr="00141A67">
              <w:rPr>
                <w:rFonts w:ascii="Arial Narrow" w:hAnsi="Arial Narrow" w:cs="Arial"/>
                <w:sz w:val="20"/>
                <w:szCs w:val="20"/>
                <w:lang w:val="en-US"/>
              </w:rPr>
              <w:t xml:space="preserve">6A.   The Practice </w:t>
            </w:r>
            <w:r w:rsidR="003C6CB1" w:rsidRPr="00141A67">
              <w:rPr>
                <w:rFonts w:ascii="Arial Narrow" w:hAnsi="Arial Narrow" w:cs="Arial"/>
                <w:sz w:val="20"/>
                <w:szCs w:val="20"/>
                <w:lang w:val="en-US"/>
              </w:rPr>
              <w:t xml:space="preserve">has a Safer </w:t>
            </w:r>
            <w:r w:rsidRPr="00141A67">
              <w:rPr>
                <w:rFonts w:ascii="Arial Narrow" w:hAnsi="Arial Narrow" w:cs="Arial"/>
                <w:sz w:val="20"/>
                <w:szCs w:val="20"/>
                <w:lang w:val="en-US"/>
              </w:rPr>
              <w:t xml:space="preserve">Recruitment Policy requires that pre-employment checks are completed appropriately for all staff (including locums), including evidence of a full employment history, and explanation of any gaps, satisfactory references, checks on, Memberships of Professional Regulators, such as the GMC or RCN; etc., and uses the appropriate Disclosure and Baring Service check.  </w:t>
            </w:r>
          </w:p>
        </w:tc>
        <w:tc>
          <w:tcPr>
            <w:tcW w:w="1060" w:type="dxa"/>
            <w:gridSpan w:val="2"/>
          </w:tcPr>
          <w:p w14:paraId="4CF7B8EF" w14:textId="77777777" w:rsidR="00622FD1" w:rsidRDefault="00622FD1" w:rsidP="000B1C23">
            <w:pPr>
              <w:spacing w:after="120"/>
              <w:rPr>
                <w:rFonts w:cs="Arial"/>
                <w:sz w:val="22"/>
              </w:rPr>
            </w:pPr>
          </w:p>
        </w:tc>
        <w:tc>
          <w:tcPr>
            <w:tcW w:w="3013" w:type="dxa"/>
          </w:tcPr>
          <w:p w14:paraId="567E934C" w14:textId="77777777" w:rsidR="00622FD1" w:rsidRDefault="00622FD1" w:rsidP="000B1C23">
            <w:pPr>
              <w:spacing w:after="120"/>
              <w:rPr>
                <w:rFonts w:cs="Arial"/>
                <w:sz w:val="22"/>
              </w:rPr>
            </w:pPr>
          </w:p>
        </w:tc>
      </w:tr>
      <w:tr w:rsidR="00622FD1" w14:paraId="233B5048" w14:textId="77777777" w:rsidTr="0014400F">
        <w:tc>
          <w:tcPr>
            <w:tcW w:w="2963" w:type="dxa"/>
            <w:vMerge/>
          </w:tcPr>
          <w:p w14:paraId="15867A15" w14:textId="77777777" w:rsidR="00622FD1" w:rsidRPr="000316A0" w:rsidRDefault="00622FD1" w:rsidP="000B1C23">
            <w:pPr>
              <w:widowControl w:val="0"/>
              <w:spacing w:line="256" w:lineRule="auto"/>
              <w:ind w:right="25"/>
              <w:rPr>
                <w:rFonts w:eastAsia="Arial" w:cs="Arial"/>
                <w:sz w:val="22"/>
              </w:rPr>
            </w:pPr>
          </w:p>
        </w:tc>
        <w:tc>
          <w:tcPr>
            <w:tcW w:w="8240" w:type="dxa"/>
            <w:gridSpan w:val="2"/>
          </w:tcPr>
          <w:p w14:paraId="7DEA2567" w14:textId="4F0A6FA5" w:rsidR="00622FD1" w:rsidRPr="00141A67" w:rsidRDefault="00622FD1" w:rsidP="000B1C23">
            <w:pPr>
              <w:spacing w:after="120"/>
              <w:rPr>
                <w:rFonts w:cs="Arial"/>
                <w:sz w:val="22"/>
              </w:rPr>
            </w:pPr>
            <w:r w:rsidRPr="00141A67">
              <w:rPr>
                <w:rFonts w:ascii="Arial Narrow" w:hAnsi="Arial Narrow" w:cs="Arial"/>
                <w:sz w:val="20"/>
                <w:szCs w:val="20"/>
                <w:lang w:val="en-US"/>
              </w:rPr>
              <w:t>6B.  Job descriptions within the Practice explicitly identify overarching safeguarding responsibilities</w:t>
            </w:r>
          </w:p>
        </w:tc>
        <w:tc>
          <w:tcPr>
            <w:tcW w:w="1060" w:type="dxa"/>
            <w:gridSpan w:val="2"/>
          </w:tcPr>
          <w:p w14:paraId="1AA9C99F" w14:textId="77777777" w:rsidR="00622FD1" w:rsidRDefault="00622FD1" w:rsidP="000B1C23">
            <w:pPr>
              <w:spacing w:after="120"/>
              <w:rPr>
                <w:rFonts w:cs="Arial"/>
                <w:sz w:val="22"/>
              </w:rPr>
            </w:pPr>
          </w:p>
        </w:tc>
        <w:tc>
          <w:tcPr>
            <w:tcW w:w="3013" w:type="dxa"/>
          </w:tcPr>
          <w:p w14:paraId="7EA88D22" w14:textId="77777777" w:rsidR="00622FD1" w:rsidRDefault="00622FD1" w:rsidP="000B1C23">
            <w:pPr>
              <w:spacing w:after="120"/>
              <w:rPr>
                <w:rFonts w:cs="Arial"/>
                <w:sz w:val="22"/>
              </w:rPr>
            </w:pPr>
          </w:p>
        </w:tc>
      </w:tr>
      <w:tr w:rsidR="00622FD1" w14:paraId="14B75E70" w14:textId="77777777" w:rsidTr="001A0707">
        <w:trPr>
          <w:trHeight w:val="650"/>
        </w:trPr>
        <w:tc>
          <w:tcPr>
            <w:tcW w:w="2963" w:type="dxa"/>
            <w:vMerge/>
          </w:tcPr>
          <w:p w14:paraId="78F6C805" w14:textId="77777777" w:rsidR="00622FD1" w:rsidRPr="000316A0" w:rsidRDefault="00622FD1" w:rsidP="000B1C23">
            <w:pPr>
              <w:widowControl w:val="0"/>
              <w:spacing w:line="256" w:lineRule="auto"/>
              <w:ind w:right="25"/>
              <w:rPr>
                <w:rFonts w:eastAsia="Arial" w:cs="Arial"/>
                <w:sz w:val="22"/>
              </w:rPr>
            </w:pPr>
          </w:p>
        </w:tc>
        <w:tc>
          <w:tcPr>
            <w:tcW w:w="8240" w:type="dxa"/>
            <w:gridSpan w:val="2"/>
          </w:tcPr>
          <w:p w14:paraId="2E6453A4" w14:textId="7B7A596C" w:rsidR="00622FD1" w:rsidRPr="00141A67" w:rsidRDefault="00622FD1" w:rsidP="000B1C23">
            <w:pPr>
              <w:spacing w:after="120"/>
              <w:rPr>
                <w:rFonts w:ascii="Arial Narrow" w:hAnsi="Arial Narrow" w:cs="Arial"/>
                <w:sz w:val="20"/>
                <w:szCs w:val="20"/>
                <w:lang w:val="en-US"/>
              </w:rPr>
            </w:pPr>
            <w:r w:rsidRPr="00141A67">
              <w:rPr>
                <w:rFonts w:ascii="Arial Narrow" w:hAnsi="Arial Narrow" w:cs="Arial"/>
                <w:sz w:val="20"/>
                <w:szCs w:val="20"/>
                <w:lang w:val="en-US"/>
              </w:rPr>
              <w:t xml:space="preserve">6C. The practice has robust recruitment and termination processes in place in relation to DBS clearance and certification appropriate to their role.  </w:t>
            </w:r>
          </w:p>
        </w:tc>
        <w:tc>
          <w:tcPr>
            <w:tcW w:w="1060" w:type="dxa"/>
            <w:gridSpan w:val="2"/>
          </w:tcPr>
          <w:p w14:paraId="59E97CBD" w14:textId="77777777" w:rsidR="00622FD1" w:rsidRDefault="00622FD1" w:rsidP="000B1C23">
            <w:pPr>
              <w:spacing w:after="120"/>
              <w:rPr>
                <w:rFonts w:cs="Arial"/>
                <w:sz w:val="22"/>
              </w:rPr>
            </w:pPr>
          </w:p>
        </w:tc>
        <w:tc>
          <w:tcPr>
            <w:tcW w:w="3013" w:type="dxa"/>
          </w:tcPr>
          <w:p w14:paraId="6D634768" w14:textId="77777777" w:rsidR="00622FD1" w:rsidRDefault="00622FD1" w:rsidP="000B1C23">
            <w:pPr>
              <w:spacing w:after="120"/>
              <w:rPr>
                <w:rFonts w:cs="Arial"/>
                <w:sz w:val="22"/>
              </w:rPr>
            </w:pPr>
          </w:p>
        </w:tc>
      </w:tr>
      <w:tr w:rsidR="00DA09E3" w14:paraId="1CA5C850" w14:textId="77777777" w:rsidTr="004C22CC">
        <w:trPr>
          <w:trHeight w:val="650"/>
        </w:trPr>
        <w:tc>
          <w:tcPr>
            <w:tcW w:w="15276" w:type="dxa"/>
            <w:gridSpan w:val="6"/>
            <w:shd w:val="clear" w:color="auto" w:fill="DBE5F1" w:themeFill="accent1" w:themeFillTint="33"/>
          </w:tcPr>
          <w:p w14:paraId="691318A8" w14:textId="3026A158" w:rsidR="00DA09E3" w:rsidRPr="00141A67" w:rsidRDefault="00DA09E3" w:rsidP="00DA09E3">
            <w:pPr>
              <w:spacing w:after="120"/>
              <w:jc w:val="center"/>
              <w:rPr>
                <w:rFonts w:cs="Arial"/>
                <w:sz w:val="22"/>
              </w:rPr>
            </w:pPr>
            <w:r w:rsidRPr="00141A67">
              <w:rPr>
                <w:rFonts w:cs="Arial"/>
                <w:b/>
                <w:szCs w:val="24"/>
              </w:rPr>
              <w:t xml:space="preserve">Voice of the child, family, </w:t>
            </w:r>
            <w:proofErr w:type="gramStart"/>
            <w:r w:rsidRPr="00141A67">
              <w:rPr>
                <w:rFonts w:cs="Arial"/>
                <w:b/>
                <w:szCs w:val="24"/>
              </w:rPr>
              <w:t>staff</w:t>
            </w:r>
            <w:proofErr w:type="gramEnd"/>
            <w:r w:rsidRPr="00141A67">
              <w:rPr>
                <w:rFonts w:cs="Arial"/>
                <w:b/>
                <w:szCs w:val="24"/>
              </w:rPr>
              <w:t xml:space="preserve"> and Community</w:t>
            </w:r>
          </w:p>
        </w:tc>
      </w:tr>
      <w:tr w:rsidR="001A0707" w14:paraId="4DA03632" w14:textId="77777777" w:rsidTr="001A0707">
        <w:tc>
          <w:tcPr>
            <w:tcW w:w="2963" w:type="dxa"/>
            <w:shd w:val="clear" w:color="auto" w:fill="B8CCE4" w:themeFill="accent1" w:themeFillTint="66"/>
          </w:tcPr>
          <w:p w14:paraId="0E958B00" w14:textId="06737DD7" w:rsidR="001A0707" w:rsidRPr="00141A67" w:rsidRDefault="001A0707" w:rsidP="001A0707">
            <w:pPr>
              <w:widowControl w:val="0"/>
              <w:spacing w:line="256" w:lineRule="auto"/>
              <w:ind w:right="25"/>
              <w:jc w:val="center"/>
              <w:rPr>
                <w:rFonts w:eastAsia="Arial" w:cs="Arial"/>
                <w:b/>
                <w:bCs/>
                <w:sz w:val="22"/>
              </w:rPr>
            </w:pPr>
            <w:r w:rsidRPr="00141A67">
              <w:rPr>
                <w:rFonts w:eastAsia="Arial" w:cs="Arial"/>
                <w:b/>
                <w:bCs/>
                <w:color w:val="FF0000"/>
                <w:sz w:val="22"/>
              </w:rPr>
              <w:t>Overarching Standard</w:t>
            </w:r>
          </w:p>
        </w:tc>
        <w:tc>
          <w:tcPr>
            <w:tcW w:w="8240" w:type="dxa"/>
            <w:gridSpan w:val="2"/>
            <w:shd w:val="clear" w:color="auto" w:fill="B8CCE4" w:themeFill="accent1" w:themeFillTint="66"/>
          </w:tcPr>
          <w:p w14:paraId="1A023DA5" w14:textId="2BA15271" w:rsidR="001A0707" w:rsidRPr="00141A67" w:rsidRDefault="00DA09E3" w:rsidP="001A0707">
            <w:pPr>
              <w:spacing w:after="120"/>
              <w:jc w:val="center"/>
              <w:rPr>
                <w:rFonts w:ascii="Arial Narrow" w:hAnsi="Arial Narrow" w:cs="Arial"/>
                <w:sz w:val="20"/>
                <w:szCs w:val="20"/>
                <w:lang w:val="en-US"/>
              </w:rPr>
            </w:pPr>
            <w:r w:rsidRPr="00141A67">
              <w:rPr>
                <w:rFonts w:cs="Arial"/>
                <w:b/>
                <w:sz w:val="22"/>
              </w:rPr>
              <w:t>Components of standard</w:t>
            </w:r>
          </w:p>
        </w:tc>
        <w:tc>
          <w:tcPr>
            <w:tcW w:w="1060" w:type="dxa"/>
            <w:gridSpan w:val="2"/>
            <w:shd w:val="clear" w:color="auto" w:fill="B8CCE4" w:themeFill="accent1" w:themeFillTint="66"/>
          </w:tcPr>
          <w:p w14:paraId="630390B9" w14:textId="5ECE5476" w:rsidR="001A0707" w:rsidRPr="00141A67" w:rsidRDefault="001A0707" w:rsidP="000B1C23">
            <w:pPr>
              <w:spacing w:after="120"/>
              <w:rPr>
                <w:rFonts w:cs="Arial"/>
                <w:b/>
                <w:bCs/>
                <w:sz w:val="22"/>
              </w:rPr>
            </w:pPr>
            <w:r w:rsidRPr="00141A67">
              <w:rPr>
                <w:rFonts w:cs="Arial"/>
                <w:b/>
                <w:bCs/>
                <w:sz w:val="22"/>
              </w:rPr>
              <w:t>Rag Rating</w:t>
            </w:r>
          </w:p>
        </w:tc>
        <w:tc>
          <w:tcPr>
            <w:tcW w:w="3013" w:type="dxa"/>
            <w:shd w:val="clear" w:color="auto" w:fill="B8CCE4" w:themeFill="accent1" w:themeFillTint="66"/>
          </w:tcPr>
          <w:p w14:paraId="1AD3E260" w14:textId="43FD2A46" w:rsidR="001A0707" w:rsidRPr="00141A67" w:rsidRDefault="001A0707" w:rsidP="000B1C23">
            <w:pPr>
              <w:spacing w:after="120"/>
              <w:rPr>
                <w:rFonts w:cs="Arial"/>
                <w:sz w:val="22"/>
              </w:rPr>
            </w:pPr>
            <w:r w:rsidRPr="00141A67">
              <w:rPr>
                <w:rFonts w:cs="Arial"/>
                <w:b/>
                <w:sz w:val="22"/>
              </w:rPr>
              <w:t>Comments/actions by the organisation to address any areas of amber/red</w:t>
            </w:r>
          </w:p>
        </w:tc>
      </w:tr>
      <w:tr w:rsidR="00712DC1" w14:paraId="3C8F4827" w14:textId="77777777" w:rsidTr="0014400F">
        <w:tc>
          <w:tcPr>
            <w:tcW w:w="2963" w:type="dxa"/>
            <w:vMerge w:val="restart"/>
          </w:tcPr>
          <w:p w14:paraId="74687EF3" w14:textId="1303AA20" w:rsidR="00712DC1" w:rsidRPr="001A0707" w:rsidRDefault="00712DC1" w:rsidP="001A0707">
            <w:pPr>
              <w:widowControl w:val="0"/>
              <w:spacing w:line="256" w:lineRule="auto"/>
              <w:ind w:right="25"/>
              <w:rPr>
                <w:rFonts w:ascii="Arial Narrow" w:eastAsia="Arial" w:hAnsi="Arial Narrow" w:cs="Arial"/>
                <w:b/>
                <w:bCs/>
                <w:sz w:val="22"/>
              </w:rPr>
            </w:pPr>
            <w:r w:rsidRPr="00141A67">
              <w:rPr>
                <w:rFonts w:ascii="Arial Narrow" w:eastAsia="Arial" w:hAnsi="Arial Narrow" w:cs="Arial"/>
                <w:b/>
                <w:bCs/>
                <w:sz w:val="22"/>
              </w:rPr>
              <w:t xml:space="preserve">7.0  A culture of listening to </w:t>
            </w:r>
            <w:r w:rsidR="005D7AED" w:rsidRPr="00141A67">
              <w:rPr>
                <w:rFonts w:ascii="Arial Narrow" w:eastAsia="Arial" w:hAnsi="Arial Narrow" w:cs="Arial"/>
                <w:b/>
                <w:bCs/>
                <w:sz w:val="22"/>
              </w:rPr>
              <w:t xml:space="preserve">the voice of </w:t>
            </w:r>
            <w:r w:rsidRPr="00141A67">
              <w:rPr>
                <w:rFonts w:ascii="Arial Narrow" w:eastAsia="Arial" w:hAnsi="Arial Narrow" w:cs="Arial"/>
                <w:b/>
                <w:bCs/>
                <w:sz w:val="22"/>
              </w:rPr>
              <w:t>children</w:t>
            </w:r>
            <w:r w:rsidR="005D7AED" w:rsidRPr="00141A67">
              <w:rPr>
                <w:rFonts w:ascii="Arial Narrow" w:eastAsia="Arial" w:hAnsi="Arial Narrow" w:cs="Arial"/>
                <w:b/>
                <w:bCs/>
                <w:sz w:val="22"/>
              </w:rPr>
              <w:t>/adults at risk</w:t>
            </w:r>
            <w:r w:rsidRPr="00141A67">
              <w:rPr>
                <w:rFonts w:ascii="Arial Narrow" w:eastAsia="Arial" w:hAnsi="Arial Narrow" w:cs="Arial"/>
                <w:b/>
                <w:bCs/>
                <w:sz w:val="22"/>
              </w:rPr>
              <w:t xml:space="preserve"> and taking account of their wishes and feelings, in </w:t>
            </w:r>
            <w:r w:rsidR="005D7AED" w:rsidRPr="00141A67">
              <w:rPr>
                <w:rFonts w:ascii="Arial Narrow" w:eastAsia="Arial" w:hAnsi="Arial Narrow" w:cs="Arial"/>
                <w:b/>
                <w:bCs/>
                <w:sz w:val="22"/>
              </w:rPr>
              <w:t>decision making</w:t>
            </w:r>
          </w:p>
        </w:tc>
        <w:tc>
          <w:tcPr>
            <w:tcW w:w="8240" w:type="dxa"/>
            <w:gridSpan w:val="2"/>
          </w:tcPr>
          <w:p w14:paraId="67DB21CB" w14:textId="6429186A" w:rsidR="00712DC1" w:rsidRPr="00141A67" w:rsidRDefault="00712DC1" w:rsidP="000B1C23">
            <w:pPr>
              <w:spacing w:after="120"/>
              <w:rPr>
                <w:rFonts w:ascii="Arial Narrow" w:hAnsi="Arial Narrow" w:cs="Arial"/>
                <w:sz w:val="20"/>
                <w:szCs w:val="20"/>
                <w:lang w:val="en-US"/>
              </w:rPr>
            </w:pPr>
            <w:r w:rsidRPr="00141A67">
              <w:rPr>
                <w:rFonts w:ascii="Arial Narrow" w:hAnsi="Arial Narrow" w:cs="Arial"/>
                <w:sz w:val="20"/>
                <w:szCs w:val="20"/>
                <w:lang w:val="en-US"/>
              </w:rPr>
              <w:t xml:space="preserve">7A. The Practice's policies and procedures include reference to the importance of listening to and taking into consideration the views of children, young </w:t>
            </w:r>
            <w:proofErr w:type="gramStart"/>
            <w:r w:rsidRPr="00141A67">
              <w:rPr>
                <w:rFonts w:ascii="Arial Narrow" w:hAnsi="Arial Narrow" w:cs="Arial"/>
                <w:sz w:val="20"/>
                <w:szCs w:val="20"/>
                <w:lang w:val="en-US"/>
              </w:rPr>
              <w:t>people</w:t>
            </w:r>
            <w:proofErr w:type="gramEnd"/>
            <w:r w:rsidRPr="00141A67">
              <w:rPr>
                <w:rFonts w:ascii="Arial Narrow" w:hAnsi="Arial Narrow" w:cs="Arial"/>
                <w:sz w:val="20"/>
                <w:szCs w:val="20"/>
                <w:lang w:val="en-US"/>
              </w:rPr>
              <w:t xml:space="preserve"> and adults at risk and how to respond appropriately</w:t>
            </w:r>
          </w:p>
        </w:tc>
        <w:tc>
          <w:tcPr>
            <w:tcW w:w="1060" w:type="dxa"/>
            <w:gridSpan w:val="2"/>
          </w:tcPr>
          <w:p w14:paraId="5CAC49C7" w14:textId="77777777" w:rsidR="00712DC1" w:rsidRPr="00E861B5" w:rsidRDefault="00712DC1" w:rsidP="000B1C23">
            <w:pPr>
              <w:spacing w:after="120"/>
              <w:rPr>
                <w:rFonts w:cs="Arial"/>
                <w:sz w:val="22"/>
                <w:highlight w:val="yellow"/>
              </w:rPr>
            </w:pPr>
          </w:p>
        </w:tc>
        <w:tc>
          <w:tcPr>
            <w:tcW w:w="3013" w:type="dxa"/>
          </w:tcPr>
          <w:p w14:paraId="589739BF" w14:textId="77777777" w:rsidR="00712DC1" w:rsidRPr="00E861B5" w:rsidRDefault="00712DC1" w:rsidP="000B1C23">
            <w:pPr>
              <w:spacing w:after="120"/>
              <w:rPr>
                <w:rFonts w:cs="Arial"/>
                <w:sz w:val="22"/>
                <w:highlight w:val="yellow"/>
              </w:rPr>
            </w:pPr>
          </w:p>
        </w:tc>
      </w:tr>
      <w:tr w:rsidR="005D7AED" w14:paraId="5A6C5468" w14:textId="77777777" w:rsidTr="008068C4">
        <w:trPr>
          <w:trHeight w:val="756"/>
        </w:trPr>
        <w:tc>
          <w:tcPr>
            <w:tcW w:w="2963" w:type="dxa"/>
            <w:vMerge/>
          </w:tcPr>
          <w:p w14:paraId="652B9CF5" w14:textId="77777777" w:rsidR="005D7AED" w:rsidRPr="000316A0" w:rsidRDefault="005D7AED" w:rsidP="000B1C23">
            <w:pPr>
              <w:widowControl w:val="0"/>
              <w:spacing w:line="256" w:lineRule="auto"/>
              <w:ind w:right="25"/>
              <w:rPr>
                <w:rFonts w:eastAsia="Arial" w:cs="Arial"/>
                <w:sz w:val="22"/>
              </w:rPr>
            </w:pPr>
          </w:p>
        </w:tc>
        <w:tc>
          <w:tcPr>
            <w:tcW w:w="8240" w:type="dxa"/>
            <w:gridSpan w:val="2"/>
          </w:tcPr>
          <w:p w14:paraId="553157AB" w14:textId="55CD2EFC" w:rsidR="005D7AED" w:rsidRPr="00141A67" w:rsidRDefault="005D7AED" w:rsidP="000B1C23">
            <w:pPr>
              <w:spacing w:after="120"/>
              <w:rPr>
                <w:rFonts w:ascii="Arial Narrow" w:hAnsi="Arial Narrow" w:cs="Arial"/>
                <w:sz w:val="20"/>
                <w:szCs w:val="20"/>
                <w:lang w:val="en-US"/>
              </w:rPr>
            </w:pPr>
            <w:r w:rsidRPr="00141A67">
              <w:rPr>
                <w:rFonts w:ascii="Arial Narrow" w:hAnsi="Arial Narrow" w:cs="Arial"/>
                <w:sz w:val="20"/>
                <w:szCs w:val="20"/>
                <w:lang w:val="en-US"/>
              </w:rPr>
              <w:t xml:space="preserve">7B: The Practice </w:t>
            </w:r>
            <w:proofErr w:type="gramStart"/>
            <w:r w:rsidRPr="00141A67">
              <w:rPr>
                <w:rFonts w:ascii="Arial Narrow" w:hAnsi="Arial Narrow" w:cs="Arial"/>
                <w:sz w:val="20"/>
                <w:szCs w:val="20"/>
                <w:lang w:val="en-US"/>
              </w:rPr>
              <w:t>gives consideration to</w:t>
            </w:r>
            <w:proofErr w:type="gramEnd"/>
            <w:r w:rsidRPr="00141A67">
              <w:rPr>
                <w:rFonts w:ascii="Arial Narrow" w:hAnsi="Arial Narrow" w:cs="Arial"/>
                <w:sz w:val="20"/>
                <w:szCs w:val="20"/>
                <w:lang w:val="en-US"/>
              </w:rPr>
              <w:t xml:space="preserve"> languages and/or use of non-verbal communication, different ways of communicating, and to make services accessible when working with children, young people and adults at risk.</w:t>
            </w:r>
          </w:p>
        </w:tc>
        <w:tc>
          <w:tcPr>
            <w:tcW w:w="1060" w:type="dxa"/>
            <w:gridSpan w:val="2"/>
          </w:tcPr>
          <w:p w14:paraId="60FD0DD7" w14:textId="77777777" w:rsidR="005D7AED" w:rsidRPr="00E861B5" w:rsidRDefault="005D7AED" w:rsidP="000B1C23">
            <w:pPr>
              <w:spacing w:after="120"/>
              <w:rPr>
                <w:rFonts w:cs="Arial"/>
                <w:sz w:val="22"/>
                <w:highlight w:val="yellow"/>
              </w:rPr>
            </w:pPr>
          </w:p>
        </w:tc>
        <w:tc>
          <w:tcPr>
            <w:tcW w:w="3013" w:type="dxa"/>
          </w:tcPr>
          <w:p w14:paraId="6708DF53" w14:textId="77777777" w:rsidR="005D7AED" w:rsidRPr="00E861B5" w:rsidRDefault="005D7AED" w:rsidP="000B1C23">
            <w:pPr>
              <w:spacing w:after="120"/>
              <w:rPr>
                <w:rFonts w:cs="Arial"/>
                <w:sz w:val="22"/>
                <w:highlight w:val="yellow"/>
              </w:rPr>
            </w:pPr>
          </w:p>
        </w:tc>
      </w:tr>
    </w:tbl>
    <w:p w14:paraId="0B17B4AD" w14:textId="77777777" w:rsidR="009B1795" w:rsidRDefault="009B1795" w:rsidP="00BF30BE">
      <w:pPr>
        <w:spacing w:after="120" w:line="240" w:lineRule="auto"/>
        <w:rPr>
          <w:rFonts w:cs="Arial"/>
          <w:b/>
          <w:sz w:val="28"/>
          <w:szCs w:val="28"/>
        </w:rPr>
      </w:pPr>
    </w:p>
    <w:sectPr w:rsidR="009B1795" w:rsidSect="00375FE7">
      <w:footerReference w:type="default" r:id="rId9"/>
      <w:pgSz w:w="16838" w:h="11906" w:orient="landscape"/>
      <w:pgMar w:top="709" w:right="110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D2A0C" w14:textId="77777777" w:rsidR="00B74828" w:rsidRDefault="00B74828" w:rsidP="00BB347F">
      <w:pPr>
        <w:spacing w:after="0" w:line="240" w:lineRule="auto"/>
      </w:pPr>
      <w:r>
        <w:separator/>
      </w:r>
    </w:p>
  </w:endnote>
  <w:endnote w:type="continuationSeparator" w:id="0">
    <w:p w14:paraId="23E03AAA" w14:textId="77777777" w:rsidR="00B74828" w:rsidRDefault="00B74828" w:rsidP="00BB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100266"/>
      <w:docPartObj>
        <w:docPartGallery w:val="Page Numbers (Bottom of Page)"/>
        <w:docPartUnique/>
      </w:docPartObj>
    </w:sdtPr>
    <w:sdtEndPr>
      <w:rPr>
        <w:noProof/>
      </w:rPr>
    </w:sdtEndPr>
    <w:sdtContent>
      <w:p w14:paraId="4B4EF2E5" w14:textId="77777777" w:rsidR="00BB347F" w:rsidRDefault="00BB347F">
        <w:pPr>
          <w:pStyle w:val="Footer"/>
          <w:jc w:val="right"/>
        </w:pPr>
        <w:r>
          <w:fldChar w:fldCharType="begin"/>
        </w:r>
        <w:r>
          <w:instrText xml:space="preserve"> PAGE   \* MERGEFORMAT </w:instrText>
        </w:r>
        <w:r>
          <w:fldChar w:fldCharType="separate"/>
        </w:r>
        <w:r w:rsidR="000976A4">
          <w:rPr>
            <w:noProof/>
          </w:rPr>
          <w:t>1</w:t>
        </w:r>
        <w:r>
          <w:rPr>
            <w:noProof/>
          </w:rPr>
          <w:fldChar w:fldCharType="end"/>
        </w:r>
      </w:p>
    </w:sdtContent>
  </w:sdt>
  <w:p w14:paraId="2EC90645" w14:textId="082315C5" w:rsidR="00BB347F" w:rsidRDefault="00D82836">
    <w:pPr>
      <w:pStyle w:val="Footer"/>
    </w:pPr>
    <w:r>
      <w:t xml:space="preserve">Version </w:t>
    </w:r>
    <w:r w:rsidR="00622FD1">
      <w:t>2</w:t>
    </w:r>
    <w:r>
      <w:t xml:space="preserve">: </w:t>
    </w:r>
    <w:r w:rsidR="00E96A5D">
      <w:t>J</w:t>
    </w:r>
    <w:r w:rsidR="00622FD1">
      <w:t>an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F19DE" w14:textId="77777777" w:rsidR="00B74828" w:rsidRDefault="00B74828" w:rsidP="00BB347F">
      <w:pPr>
        <w:spacing w:after="0" w:line="240" w:lineRule="auto"/>
      </w:pPr>
      <w:r>
        <w:separator/>
      </w:r>
    </w:p>
  </w:footnote>
  <w:footnote w:type="continuationSeparator" w:id="0">
    <w:p w14:paraId="68B199F5" w14:textId="77777777" w:rsidR="00B74828" w:rsidRDefault="00B74828" w:rsidP="00BB3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119"/>
    <w:multiLevelType w:val="hybridMultilevel"/>
    <w:tmpl w:val="AC7C8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F65E89"/>
    <w:multiLevelType w:val="hybridMultilevel"/>
    <w:tmpl w:val="01F4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521CF"/>
    <w:multiLevelType w:val="hybridMultilevel"/>
    <w:tmpl w:val="53C66E8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3E5F13"/>
    <w:multiLevelType w:val="hybridMultilevel"/>
    <w:tmpl w:val="CCD4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13202"/>
    <w:multiLevelType w:val="hybridMultilevel"/>
    <w:tmpl w:val="7658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E7414"/>
    <w:multiLevelType w:val="hybridMultilevel"/>
    <w:tmpl w:val="0084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D0AF8"/>
    <w:multiLevelType w:val="hybridMultilevel"/>
    <w:tmpl w:val="0B66C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D0161"/>
    <w:multiLevelType w:val="hybridMultilevel"/>
    <w:tmpl w:val="B9C0A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AF03FF"/>
    <w:multiLevelType w:val="hybridMultilevel"/>
    <w:tmpl w:val="DCDEBD98"/>
    <w:lvl w:ilvl="0" w:tplc="08090001">
      <w:start w:val="1"/>
      <w:numFmt w:val="bullet"/>
      <w:lvlText w:val=""/>
      <w:lvlJc w:val="left"/>
      <w:pPr>
        <w:tabs>
          <w:tab w:val="num" w:pos="170"/>
        </w:tabs>
        <w:ind w:left="170" w:hanging="170"/>
      </w:pPr>
      <w:rPr>
        <w:rFonts w:ascii="Symbol" w:hAnsi="Symbol" w:hint="default"/>
      </w:rPr>
    </w:lvl>
    <w:lvl w:ilvl="1" w:tplc="08090003">
      <w:start w:val="1"/>
      <w:numFmt w:val="bullet"/>
      <w:lvlText w:val="o"/>
      <w:lvlJc w:val="left"/>
      <w:pPr>
        <w:tabs>
          <w:tab w:val="num" w:pos="12"/>
        </w:tabs>
        <w:ind w:left="12" w:hanging="360"/>
      </w:pPr>
      <w:rPr>
        <w:rFonts w:ascii="Courier New" w:hAnsi="Courier New" w:hint="default"/>
      </w:rPr>
    </w:lvl>
    <w:lvl w:ilvl="2" w:tplc="08090005" w:tentative="1">
      <w:start w:val="1"/>
      <w:numFmt w:val="bullet"/>
      <w:lvlText w:val=""/>
      <w:lvlJc w:val="left"/>
      <w:pPr>
        <w:tabs>
          <w:tab w:val="num" w:pos="732"/>
        </w:tabs>
        <w:ind w:left="732" w:hanging="360"/>
      </w:pPr>
      <w:rPr>
        <w:rFonts w:ascii="Wingdings" w:hAnsi="Wingdings" w:hint="default"/>
      </w:rPr>
    </w:lvl>
    <w:lvl w:ilvl="3" w:tplc="08090001" w:tentative="1">
      <w:start w:val="1"/>
      <w:numFmt w:val="bullet"/>
      <w:lvlText w:val=""/>
      <w:lvlJc w:val="left"/>
      <w:pPr>
        <w:tabs>
          <w:tab w:val="num" w:pos="1452"/>
        </w:tabs>
        <w:ind w:left="1452" w:hanging="360"/>
      </w:pPr>
      <w:rPr>
        <w:rFonts w:ascii="Symbol" w:hAnsi="Symbol" w:hint="default"/>
      </w:rPr>
    </w:lvl>
    <w:lvl w:ilvl="4" w:tplc="08090003" w:tentative="1">
      <w:start w:val="1"/>
      <w:numFmt w:val="bullet"/>
      <w:lvlText w:val="o"/>
      <w:lvlJc w:val="left"/>
      <w:pPr>
        <w:tabs>
          <w:tab w:val="num" w:pos="2172"/>
        </w:tabs>
        <w:ind w:left="2172" w:hanging="360"/>
      </w:pPr>
      <w:rPr>
        <w:rFonts w:ascii="Courier New" w:hAnsi="Courier New" w:hint="default"/>
      </w:rPr>
    </w:lvl>
    <w:lvl w:ilvl="5" w:tplc="08090005" w:tentative="1">
      <w:start w:val="1"/>
      <w:numFmt w:val="bullet"/>
      <w:lvlText w:val=""/>
      <w:lvlJc w:val="left"/>
      <w:pPr>
        <w:tabs>
          <w:tab w:val="num" w:pos="2892"/>
        </w:tabs>
        <w:ind w:left="2892" w:hanging="360"/>
      </w:pPr>
      <w:rPr>
        <w:rFonts w:ascii="Wingdings" w:hAnsi="Wingdings" w:hint="default"/>
      </w:rPr>
    </w:lvl>
    <w:lvl w:ilvl="6" w:tplc="08090001" w:tentative="1">
      <w:start w:val="1"/>
      <w:numFmt w:val="bullet"/>
      <w:lvlText w:val=""/>
      <w:lvlJc w:val="left"/>
      <w:pPr>
        <w:tabs>
          <w:tab w:val="num" w:pos="3612"/>
        </w:tabs>
        <w:ind w:left="3612" w:hanging="360"/>
      </w:pPr>
      <w:rPr>
        <w:rFonts w:ascii="Symbol" w:hAnsi="Symbol" w:hint="default"/>
      </w:rPr>
    </w:lvl>
    <w:lvl w:ilvl="7" w:tplc="08090003" w:tentative="1">
      <w:start w:val="1"/>
      <w:numFmt w:val="bullet"/>
      <w:lvlText w:val="o"/>
      <w:lvlJc w:val="left"/>
      <w:pPr>
        <w:tabs>
          <w:tab w:val="num" w:pos="4332"/>
        </w:tabs>
        <w:ind w:left="4332" w:hanging="360"/>
      </w:pPr>
      <w:rPr>
        <w:rFonts w:ascii="Courier New" w:hAnsi="Courier New" w:hint="default"/>
      </w:rPr>
    </w:lvl>
    <w:lvl w:ilvl="8" w:tplc="08090005" w:tentative="1">
      <w:start w:val="1"/>
      <w:numFmt w:val="bullet"/>
      <w:lvlText w:val=""/>
      <w:lvlJc w:val="left"/>
      <w:pPr>
        <w:tabs>
          <w:tab w:val="num" w:pos="5052"/>
        </w:tabs>
        <w:ind w:left="5052" w:hanging="360"/>
      </w:pPr>
      <w:rPr>
        <w:rFonts w:ascii="Wingdings" w:hAnsi="Wingdings" w:hint="default"/>
      </w:rPr>
    </w:lvl>
  </w:abstractNum>
  <w:abstractNum w:abstractNumId="9" w15:restartNumberingAfterBreak="0">
    <w:nsid w:val="13B667A6"/>
    <w:multiLevelType w:val="hybridMultilevel"/>
    <w:tmpl w:val="2BB05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C8008B"/>
    <w:multiLevelType w:val="hybridMultilevel"/>
    <w:tmpl w:val="22AE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C6D89"/>
    <w:multiLevelType w:val="hybridMultilevel"/>
    <w:tmpl w:val="EC9A81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CEA4E1A"/>
    <w:multiLevelType w:val="hybridMultilevel"/>
    <w:tmpl w:val="2D6A9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092D30"/>
    <w:multiLevelType w:val="hybridMultilevel"/>
    <w:tmpl w:val="7A68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96197"/>
    <w:multiLevelType w:val="hybridMultilevel"/>
    <w:tmpl w:val="740C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0D25E1"/>
    <w:multiLevelType w:val="hybridMultilevel"/>
    <w:tmpl w:val="D06AFAF4"/>
    <w:lvl w:ilvl="0" w:tplc="04A2F33C">
      <w:start w:val="1"/>
      <w:numFmt w:val="decimal"/>
      <w:lvlText w:val="%1."/>
      <w:lvlJc w:val="left"/>
      <w:pPr>
        <w:ind w:left="720" w:hanging="360"/>
      </w:pPr>
      <w:rPr>
        <w:rFonts w:ascii="Arial Narrow" w:hAnsi="Arial Narrow"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06493B"/>
    <w:multiLevelType w:val="hybridMultilevel"/>
    <w:tmpl w:val="645CB8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35D30BBC"/>
    <w:multiLevelType w:val="hybridMultilevel"/>
    <w:tmpl w:val="D3D04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550B7A"/>
    <w:multiLevelType w:val="hybridMultilevel"/>
    <w:tmpl w:val="47C49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AB2168"/>
    <w:multiLevelType w:val="hybridMultilevel"/>
    <w:tmpl w:val="7918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ED512F"/>
    <w:multiLevelType w:val="hybridMultilevel"/>
    <w:tmpl w:val="9EC45B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88741C"/>
    <w:multiLevelType w:val="hybridMultilevel"/>
    <w:tmpl w:val="355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925B25"/>
    <w:multiLevelType w:val="hybridMultilevel"/>
    <w:tmpl w:val="BD9C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465441"/>
    <w:multiLevelType w:val="hybridMultilevel"/>
    <w:tmpl w:val="069286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72F135C"/>
    <w:multiLevelType w:val="hybridMultilevel"/>
    <w:tmpl w:val="A9106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CB7FED"/>
    <w:multiLevelType w:val="hybridMultilevel"/>
    <w:tmpl w:val="1BDC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0012FD"/>
    <w:multiLevelType w:val="hybridMultilevel"/>
    <w:tmpl w:val="5D282A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5932E0F"/>
    <w:multiLevelType w:val="hybridMultilevel"/>
    <w:tmpl w:val="6A7CAF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5E2F78D5"/>
    <w:multiLevelType w:val="multilevel"/>
    <w:tmpl w:val="BA500A28"/>
    <w:lvl w:ilvl="0">
      <w:start w:val="1"/>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0A600F8"/>
    <w:multiLevelType w:val="hybridMultilevel"/>
    <w:tmpl w:val="B348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C6405F"/>
    <w:multiLevelType w:val="hybridMultilevel"/>
    <w:tmpl w:val="9E3C0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68383E"/>
    <w:multiLevelType w:val="hybridMultilevel"/>
    <w:tmpl w:val="C666C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B1B364F"/>
    <w:multiLevelType w:val="hybridMultilevel"/>
    <w:tmpl w:val="67C0A77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3" w15:restartNumberingAfterBreak="0">
    <w:nsid w:val="6B3408EC"/>
    <w:multiLevelType w:val="multilevel"/>
    <w:tmpl w:val="0994F554"/>
    <w:lvl w:ilvl="0">
      <w:start w:val="1"/>
      <w:numFmt w:val="decimal"/>
      <w:lvlText w:val="%1.0"/>
      <w:lvlJc w:val="left"/>
      <w:pPr>
        <w:ind w:left="360" w:hanging="360"/>
      </w:pPr>
      <w:rPr>
        <w:rFonts w:hint="default"/>
        <w:sz w:val="18"/>
      </w:rPr>
    </w:lvl>
    <w:lvl w:ilvl="1">
      <w:start w:val="1"/>
      <w:numFmt w:val="decimal"/>
      <w:lvlText w:val="%1.%2"/>
      <w:lvlJc w:val="left"/>
      <w:pPr>
        <w:ind w:left="1080" w:hanging="360"/>
      </w:pPr>
      <w:rPr>
        <w:rFonts w:hint="default"/>
        <w:sz w:val="18"/>
      </w:rPr>
    </w:lvl>
    <w:lvl w:ilvl="2">
      <w:start w:val="1"/>
      <w:numFmt w:val="decimal"/>
      <w:lvlText w:val="%1.%2.%3"/>
      <w:lvlJc w:val="left"/>
      <w:pPr>
        <w:ind w:left="2160" w:hanging="720"/>
      </w:pPr>
      <w:rPr>
        <w:rFonts w:hint="default"/>
        <w:sz w:val="18"/>
      </w:rPr>
    </w:lvl>
    <w:lvl w:ilvl="3">
      <w:start w:val="1"/>
      <w:numFmt w:val="decimal"/>
      <w:lvlText w:val="%1.%2.%3.%4"/>
      <w:lvlJc w:val="left"/>
      <w:pPr>
        <w:ind w:left="3240" w:hanging="1080"/>
      </w:pPr>
      <w:rPr>
        <w:rFonts w:hint="default"/>
        <w:sz w:val="18"/>
      </w:rPr>
    </w:lvl>
    <w:lvl w:ilvl="4">
      <w:start w:val="1"/>
      <w:numFmt w:val="decimal"/>
      <w:lvlText w:val="%1.%2.%3.%4.%5"/>
      <w:lvlJc w:val="left"/>
      <w:pPr>
        <w:ind w:left="3960" w:hanging="1080"/>
      </w:pPr>
      <w:rPr>
        <w:rFonts w:hint="default"/>
        <w:sz w:val="18"/>
      </w:rPr>
    </w:lvl>
    <w:lvl w:ilvl="5">
      <w:start w:val="1"/>
      <w:numFmt w:val="decimal"/>
      <w:lvlText w:val="%1.%2.%3.%4.%5.%6"/>
      <w:lvlJc w:val="left"/>
      <w:pPr>
        <w:ind w:left="5040" w:hanging="1440"/>
      </w:pPr>
      <w:rPr>
        <w:rFonts w:hint="default"/>
        <w:sz w:val="18"/>
      </w:rPr>
    </w:lvl>
    <w:lvl w:ilvl="6">
      <w:start w:val="1"/>
      <w:numFmt w:val="decimal"/>
      <w:lvlText w:val="%1.%2.%3.%4.%5.%6.%7"/>
      <w:lvlJc w:val="left"/>
      <w:pPr>
        <w:ind w:left="5760" w:hanging="1440"/>
      </w:pPr>
      <w:rPr>
        <w:rFonts w:hint="default"/>
        <w:sz w:val="18"/>
      </w:rPr>
    </w:lvl>
    <w:lvl w:ilvl="7">
      <w:start w:val="1"/>
      <w:numFmt w:val="decimal"/>
      <w:lvlText w:val="%1.%2.%3.%4.%5.%6.%7.%8"/>
      <w:lvlJc w:val="left"/>
      <w:pPr>
        <w:ind w:left="6840" w:hanging="1800"/>
      </w:pPr>
      <w:rPr>
        <w:rFonts w:hint="default"/>
        <w:sz w:val="18"/>
      </w:rPr>
    </w:lvl>
    <w:lvl w:ilvl="8">
      <w:start w:val="1"/>
      <w:numFmt w:val="decimal"/>
      <w:lvlText w:val="%1.%2.%3.%4.%5.%6.%7.%8.%9"/>
      <w:lvlJc w:val="left"/>
      <w:pPr>
        <w:ind w:left="7560" w:hanging="1800"/>
      </w:pPr>
      <w:rPr>
        <w:rFonts w:hint="default"/>
        <w:sz w:val="18"/>
      </w:rPr>
    </w:lvl>
  </w:abstractNum>
  <w:abstractNum w:abstractNumId="34" w15:restartNumberingAfterBreak="0">
    <w:nsid w:val="72642FC3"/>
    <w:multiLevelType w:val="hybridMultilevel"/>
    <w:tmpl w:val="2DF0D1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5161E46"/>
    <w:multiLevelType w:val="hybridMultilevel"/>
    <w:tmpl w:val="49720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6C7433"/>
    <w:multiLevelType w:val="hybridMultilevel"/>
    <w:tmpl w:val="2B92E84E"/>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 w15:restartNumberingAfterBreak="0">
    <w:nsid w:val="7783271C"/>
    <w:multiLevelType w:val="hybridMultilevel"/>
    <w:tmpl w:val="35C05D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86E6DF5"/>
    <w:multiLevelType w:val="hybridMultilevel"/>
    <w:tmpl w:val="3808F8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B1578A"/>
    <w:multiLevelType w:val="hybridMultilevel"/>
    <w:tmpl w:val="FE14C7B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0" w15:restartNumberingAfterBreak="0">
    <w:nsid w:val="7E124836"/>
    <w:multiLevelType w:val="hybridMultilevel"/>
    <w:tmpl w:val="1A86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154436">
    <w:abstractNumId w:val="39"/>
  </w:num>
  <w:num w:numId="2" w16cid:durableId="1958293001">
    <w:abstractNumId w:val="22"/>
  </w:num>
  <w:num w:numId="3" w16cid:durableId="496582748">
    <w:abstractNumId w:val="23"/>
  </w:num>
  <w:num w:numId="4" w16cid:durableId="109864246">
    <w:abstractNumId w:val="8"/>
  </w:num>
  <w:num w:numId="5" w16cid:durableId="1657416611">
    <w:abstractNumId w:val="10"/>
  </w:num>
  <w:num w:numId="6" w16cid:durableId="1438255515">
    <w:abstractNumId w:val="34"/>
  </w:num>
  <w:num w:numId="7" w16cid:durableId="1980180954">
    <w:abstractNumId w:val="26"/>
  </w:num>
  <w:num w:numId="8" w16cid:durableId="626088148">
    <w:abstractNumId w:val="36"/>
  </w:num>
  <w:num w:numId="9" w16cid:durableId="1918202234">
    <w:abstractNumId w:val="19"/>
  </w:num>
  <w:num w:numId="10" w16cid:durableId="1491169938">
    <w:abstractNumId w:val="25"/>
  </w:num>
  <w:num w:numId="11" w16cid:durableId="414864273">
    <w:abstractNumId w:val="30"/>
  </w:num>
  <w:num w:numId="12" w16cid:durableId="207648331">
    <w:abstractNumId w:val="14"/>
  </w:num>
  <w:num w:numId="13" w16cid:durableId="766005868">
    <w:abstractNumId w:val="21"/>
  </w:num>
  <w:num w:numId="14" w16cid:durableId="626008560">
    <w:abstractNumId w:val="12"/>
  </w:num>
  <w:num w:numId="15" w16cid:durableId="1243107420">
    <w:abstractNumId w:val="4"/>
  </w:num>
  <w:num w:numId="16" w16cid:durableId="1328285857">
    <w:abstractNumId w:val="40"/>
  </w:num>
  <w:num w:numId="17" w16cid:durableId="1873877652">
    <w:abstractNumId w:val="11"/>
  </w:num>
  <w:num w:numId="18" w16cid:durableId="700133338">
    <w:abstractNumId w:val="29"/>
  </w:num>
  <w:num w:numId="19" w16cid:durableId="930432115">
    <w:abstractNumId w:val="5"/>
  </w:num>
  <w:num w:numId="20" w16cid:durableId="1365716041">
    <w:abstractNumId w:val="2"/>
  </w:num>
  <w:num w:numId="21" w16cid:durableId="616332522">
    <w:abstractNumId w:val="35"/>
  </w:num>
  <w:num w:numId="22" w16cid:durableId="1334408737">
    <w:abstractNumId w:val="17"/>
  </w:num>
  <w:num w:numId="23" w16cid:durableId="969633600">
    <w:abstractNumId w:val="18"/>
  </w:num>
  <w:num w:numId="24" w16cid:durableId="604070827">
    <w:abstractNumId w:val="9"/>
  </w:num>
  <w:num w:numId="25" w16cid:durableId="865095783">
    <w:abstractNumId w:val="7"/>
  </w:num>
  <w:num w:numId="26" w16cid:durableId="1510171330">
    <w:abstractNumId w:val="3"/>
  </w:num>
  <w:num w:numId="27" w16cid:durableId="246621837">
    <w:abstractNumId w:val="24"/>
  </w:num>
  <w:num w:numId="28" w16cid:durableId="590355076">
    <w:abstractNumId w:val="1"/>
  </w:num>
  <w:num w:numId="29" w16cid:durableId="2117751225">
    <w:abstractNumId w:val="32"/>
  </w:num>
  <w:num w:numId="30" w16cid:durableId="644970330">
    <w:abstractNumId w:val="31"/>
  </w:num>
  <w:num w:numId="31" w16cid:durableId="369838519">
    <w:abstractNumId w:val="38"/>
  </w:num>
  <w:num w:numId="32" w16cid:durableId="1117915960">
    <w:abstractNumId w:val="0"/>
  </w:num>
  <w:num w:numId="33" w16cid:durableId="1956212223">
    <w:abstractNumId w:val="15"/>
  </w:num>
  <w:num w:numId="34" w16cid:durableId="1324120849">
    <w:abstractNumId w:val="28"/>
  </w:num>
  <w:num w:numId="35" w16cid:durableId="1975327178">
    <w:abstractNumId w:val="33"/>
  </w:num>
  <w:num w:numId="36" w16cid:durableId="1953512386">
    <w:abstractNumId w:val="27"/>
  </w:num>
  <w:num w:numId="37" w16cid:durableId="988362364">
    <w:abstractNumId w:val="13"/>
  </w:num>
  <w:num w:numId="38" w16cid:durableId="1066730808">
    <w:abstractNumId w:val="16"/>
  </w:num>
  <w:num w:numId="39" w16cid:durableId="73015044">
    <w:abstractNumId w:val="20"/>
  </w:num>
  <w:num w:numId="40" w16cid:durableId="1329408089">
    <w:abstractNumId w:val="37"/>
  </w:num>
  <w:num w:numId="41" w16cid:durableId="1797018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A6"/>
    <w:rsid w:val="000259AF"/>
    <w:rsid w:val="000316A0"/>
    <w:rsid w:val="0003435D"/>
    <w:rsid w:val="00040E00"/>
    <w:rsid w:val="00054D55"/>
    <w:rsid w:val="000569E6"/>
    <w:rsid w:val="00065AE3"/>
    <w:rsid w:val="000700AC"/>
    <w:rsid w:val="0007293E"/>
    <w:rsid w:val="00075CF2"/>
    <w:rsid w:val="000825EF"/>
    <w:rsid w:val="00085672"/>
    <w:rsid w:val="0009545F"/>
    <w:rsid w:val="000976A4"/>
    <w:rsid w:val="000B1C23"/>
    <w:rsid w:val="00100C94"/>
    <w:rsid w:val="00101302"/>
    <w:rsid w:val="00141A67"/>
    <w:rsid w:val="001613A5"/>
    <w:rsid w:val="00183C40"/>
    <w:rsid w:val="001A0707"/>
    <w:rsid w:val="001B0681"/>
    <w:rsid w:val="001B09F2"/>
    <w:rsid w:val="001C27D5"/>
    <w:rsid w:val="001E02B0"/>
    <w:rsid w:val="001F0F9A"/>
    <w:rsid w:val="001F48FA"/>
    <w:rsid w:val="002136C6"/>
    <w:rsid w:val="00221299"/>
    <w:rsid w:val="002216DA"/>
    <w:rsid w:val="002365EE"/>
    <w:rsid w:val="0024019A"/>
    <w:rsid w:val="0024752F"/>
    <w:rsid w:val="00281B52"/>
    <w:rsid w:val="002975BA"/>
    <w:rsid w:val="002A2359"/>
    <w:rsid w:val="002A7E60"/>
    <w:rsid w:val="002B26E7"/>
    <w:rsid w:val="002B72D8"/>
    <w:rsid w:val="002E0D2A"/>
    <w:rsid w:val="002E3F94"/>
    <w:rsid w:val="002F4F28"/>
    <w:rsid w:val="00301639"/>
    <w:rsid w:val="00306C85"/>
    <w:rsid w:val="003307C8"/>
    <w:rsid w:val="00332DC8"/>
    <w:rsid w:val="00336918"/>
    <w:rsid w:val="00360730"/>
    <w:rsid w:val="00375FE7"/>
    <w:rsid w:val="003836CE"/>
    <w:rsid w:val="00386253"/>
    <w:rsid w:val="003A30C8"/>
    <w:rsid w:val="003B0289"/>
    <w:rsid w:val="003C6CB1"/>
    <w:rsid w:val="003C73E9"/>
    <w:rsid w:val="003D59FB"/>
    <w:rsid w:val="003D6900"/>
    <w:rsid w:val="003E512C"/>
    <w:rsid w:val="003E6FCA"/>
    <w:rsid w:val="0040685F"/>
    <w:rsid w:val="0040747D"/>
    <w:rsid w:val="00422C78"/>
    <w:rsid w:val="004243E7"/>
    <w:rsid w:val="00425980"/>
    <w:rsid w:val="00460634"/>
    <w:rsid w:val="00481FAD"/>
    <w:rsid w:val="004B069A"/>
    <w:rsid w:val="004B1537"/>
    <w:rsid w:val="004B3EF7"/>
    <w:rsid w:val="004B66F0"/>
    <w:rsid w:val="004D1B44"/>
    <w:rsid w:val="004D446A"/>
    <w:rsid w:val="004D7470"/>
    <w:rsid w:val="004E54A6"/>
    <w:rsid w:val="004F502D"/>
    <w:rsid w:val="004F5C0F"/>
    <w:rsid w:val="005010E6"/>
    <w:rsid w:val="00504AEB"/>
    <w:rsid w:val="00505D66"/>
    <w:rsid w:val="0051379F"/>
    <w:rsid w:val="00530482"/>
    <w:rsid w:val="00555D40"/>
    <w:rsid w:val="00577E30"/>
    <w:rsid w:val="005839D4"/>
    <w:rsid w:val="005858A7"/>
    <w:rsid w:val="00592794"/>
    <w:rsid w:val="00594554"/>
    <w:rsid w:val="0059615A"/>
    <w:rsid w:val="00597038"/>
    <w:rsid w:val="005B39DF"/>
    <w:rsid w:val="005C1EBB"/>
    <w:rsid w:val="005C61B9"/>
    <w:rsid w:val="005C70FE"/>
    <w:rsid w:val="005D7AED"/>
    <w:rsid w:val="005E480A"/>
    <w:rsid w:val="006154A7"/>
    <w:rsid w:val="00622FD1"/>
    <w:rsid w:val="006A12C8"/>
    <w:rsid w:val="006A71D8"/>
    <w:rsid w:val="006C2CE6"/>
    <w:rsid w:val="006D071D"/>
    <w:rsid w:val="006E632F"/>
    <w:rsid w:val="00701CAB"/>
    <w:rsid w:val="00706902"/>
    <w:rsid w:val="00712DC1"/>
    <w:rsid w:val="007137C6"/>
    <w:rsid w:val="00714D2B"/>
    <w:rsid w:val="007168C7"/>
    <w:rsid w:val="00734F0A"/>
    <w:rsid w:val="007356E7"/>
    <w:rsid w:val="007455DE"/>
    <w:rsid w:val="00745F08"/>
    <w:rsid w:val="00760D72"/>
    <w:rsid w:val="007819E4"/>
    <w:rsid w:val="007B79FC"/>
    <w:rsid w:val="007D2678"/>
    <w:rsid w:val="007E6EAD"/>
    <w:rsid w:val="007F2B50"/>
    <w:rsid w:val="008017C4"/>
    <w:rsid w:val="008128E8"/>
    <w:rsid w:val="00833D84"/>
    <w:rsid w:val="008406B6"/>
    <w:rsid w:val="0085737C"/>
    <w:rsid w:val="00860D5F"/>
    <w:rsid w:val="008667C9"/>
    <w:rsid w:val="00873530"/>
    <w:rsid w:val="00877B6F"/>
    <w:rsid w:val="008932AB"/>
    <w:rsid w:val="008973E9"/>
    <w:rsid w:val="008B0B6B"/>
    <w:rsid w:val="008B1473"/>
    <w:rsid w:val="008B4CB7"/>
    <w:rsid w:val="008C581A"/>
    <w:rsid w:val="008D4AAE"/>
    <w:rsid w:val="008F0A0C"/>
    <w:rsid w:val="00922524"/>
    <w:rsid w:val="00927895"/>
    <w:rsid w:val="009318C7"/>
    <w:rsid w:val="009950D5"/>
    <w:rsid w:val="009973FE"/>
    <w:rsid w:val="009A1DCD"/>
    <w:rsid w:val="009B1795"/>
    <w:rsid w:val="009B67E6"/>
    <w:rsid w:val="009C3398"/>
    <w:rsid w:val="009D21B2"/>
    <w:rsid w:val="009E5066"/>
    <w:rsid w:val="009E7233"/>
    <w:rsid w:val="009F6E75"/>
    <w:rsid w:val="00A430CF"/>
    <w:rsid w:val="00A45924"/>
    <w:rsid w:val="00A51692"/>
    <w:rsid w:val="00A72E6A"/>
    <w:rsid w:val="00A73A21"/>
    <w:rsid w:val="00A84E7E"/>
    <w:rsid w:val="00AB0232"/>
    <w:rsid w:val="00AB2A51"/>
    <w:rsid w:val="00AB7776"/>
    <w:rsid w:val="00AC7869"/>
    <w:rsid w:val="00AD43C2"/>
    <w:rsid w:val="00AD7F12"/>
    <w:rsid w:val="00AE2D69"/>
    <w:rsid w:val="00AE6181"/>
    <w:rsid w:val="00AE63EC"/>
    <w:rsid w:val="00B1660E"/>
    <w:rsid w:val="00B239A6"/>
    <w:rsid w:val="00B35B08"/>
    <w:rsid w:val="00B36DBA"/>
    <w:rsid w:val="00B45762"/>
    <w:rsid w:val="00B542A4"/>
    <w:rsid w:val="00B63015"/>
    <w:rsid w:val="00B7063A"/>
    <w:rsid w:val="00B74828"/>
    <w:rsid w:val="00B7757D"/>
    <w:rsid w:val="00B94455"/>
    <w:rsid w:val="00B97E12"/>
    <w:rsid w:val="00BB2D23"/>
    <w:rsid w:val="00BB347F"/>
    <w:rsid w:val="00BB39F8"/>
    <w:rsid w:val="00BD7D1D"/>
    <w:rsid w:val="00BE5419"/>
    <w:rsid w:val="00BE7936"/>
    <w:rsid w:val="00BF30BE"/>
    <w:rsid w:val="00C23613"/>
    <w:rsid w:val="00C31565"/>
    <w:rsid w:val="00C55CD4"/>
    <w:rsid w:val="00C636CB"/>
    <w:rsid w:val="00C67930"/>
    <w:rsid w:val="00C851CC"/>
    <w:rsid w:val="00C94561"/>
    <w:rsid w:val="00CA70AE"/>
    <w:rsid w:val="00CA750D"/>
    <w:rsid w:val="00CB1950"/>
    <w:rsid w:val="00CB1BB2"/>
    <w:rsid w:val="00CB3CFD"/>
    <w:rsid w:val="00CB4F2E"/>
    <w:rsid w:val="00CE3D0A"/>
    <w:rsid w:val="00CE64A3"/>
    <w:rsid w:val="00D14964"/>
    <w:rsid w:val="00D1793C"/>
    <w:rsid w:val="00D2445D"/>
    <w:rsid w:val="00D32B29"/>
    <w:rsid w:val="00D35151"/>
    <w:rsid w:val="00D506F0"/>
    <w:rsid w:val="00D750D4"/>
    <w:rsid w:val="00D82836"/>
    <w:rsid w:val="00D830B1"/>
    <w:rsid w:val="00D90406"/>
    <w:rsid w:val="00D90D30"/>
    <w:rsid w:val="00D93034"/>
    <w:rsid w:val="00DA09E3"/>
    <w:rsid w:val="00DA7677"/>
    <w:rsid w:val="00DB293D"/>
    <w:rsid w:val="00DB4395"/>
    <w:rsid w:val="00DC20C6"/>
    <w:rsid w:val="00DC5D34"/>
    <w:rsid w:val="00E02A70"/>
    <w:rsid w:val="00E10AE7"/>
    <w:rsid w:val="00E14421"/>
    <w:rsid w:val="00E31C38"/>
    <w:rsid w:val="00E41C85"/>
    <w:rsid w:val="00E861B5"/>
    <w:rsid w:val="00E912E0"/>
    <w:rsid w:val="00E96A5D"/>
    <w:rsid w:val="00EB2A11"/>
    <w:rsid w:val="00EC03D3"/>
    <w:rsid w:val="00EC75DC"/>
    <w:rsid w:val="00ED2618"/>
    <w:rsid w:val="00EF45D9"/>
    <w:rsid w:val="00F03563"/>
    <w:rsid w:val="00F06A1C"/>
    <w:rsid w:val="00F17326"/>
    <w:rsid w:val="00F2452D"/>
    <w:rsid w:val="00F25A1C"/>
    <w:rsid w:val="00F41A75"/>
    <w:rsid w:val="00F53B91"/>
    <w:rsid w:val="00F76485"/>
    <w:rsid w:val="00F76541"/>
    <w:rsid w:val="00F96163"/>
    <w:rsid w:val="00FA0CC4"/>
    <w:rsid w:val="00FA679E"/>
    <w:rsid w:val="00FC67B3"/>
    <w:rsid w:val="00FD639C"/>
    <w:rsid w:val="00FE4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D1454"/>
  <w15:docId w15:val="{8B492223-FCF2-416D-9CDC-AA264802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47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54A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4E54A6"/>
    <w:pPr>
      <w:ind w:left="720"/>
      <w:contextualSpacing/>
    </w:pPr>
  </w:style>
  <w:style w:type="character" w:customStyle="1" w:styleId="DeltaViewInsertion">
    <w:name w:val="DeltaView Insertion"/>
    <w:hidden/>
    <w:rsid w:val="004E54A6"/>
    <w:rPr>
      <w:color w:val="0000FF"/>
      <w:u w:val="double"/>
    </w:rPr>
  </w:style>
  <w:style w:type="character" w:customStyle="1" w:styleId="ListParagraphChar">
    <w:name w:val="List Paragraph Char"/>
    <w:link w:val="ListParagraph"/>
    <w:uiPriority w:val="34"/>
    <w:locked/>
    <w:rsid w:val="004E54A6"/>
    <w:rPr>
      <w:rFonts w:ascii="Arial" w:hAnsi="Arial"/>
      <w:sz w:val="24"/>
    </w:rPr>
  </w:style>
  <w:style w:type="table" w:customStyle="1" w:styleId="TableGrid0">
    <w:name w:val="TableGrid"/>
    <w:rsid w:val="00DB4395"/>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BB2D23"/>
    <w:pPr>
      <w:widowControl w:val="0"/>
      <w:spacing w:after="0" w:line="240" w:lineRule="auto"/>
    </w:pPr>
    <w:rPr>
      <w:lang w:val="en-US"/>
    </w:rPr>
  </w:style>
  <w:style w:type="paragraph" w:customStyle="1" w:styleId="TableParagraph">
    <w:name w:val="Table Paragraph"/>
    <w:basedOn w:val="Normal"/>
    <w:uiPriority w:val="1"/>
    <w:qFormat/>
    <w:rsid w:val="00BB2D23"/>
    <w:pPr>
      <w:widowControl w:val="0"/>
      <w:spacing w:after="0" w:line="240" w:lineRule="auto"/>
    </w:pPr>
    <w:rPr>
      <w:rFonts w:asciiTheme="minorHAnsi" w:hAnsiTheme="minorHAnsi"/>
      <w:sz w:val="22"/>
      <w:lang w:val="en-US"/>
    </w:rPr>
  </w:style>
  <w:style w:type="paragraph" w:styleId="Header">
    <w:name w:val="header"/>
    <w:basedOn w:val="Normal"/>
    <w:link w:val="HeaderChar"/>
    <w:uiPriority w:val="99"/>
    <w:unhideWhenUsed/>
    <w:rsid w:val="00BB3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47F"/>
    <w:rPr>
      <w:rFonts w:ascii="Arial" w:hAnsi="Arial"/>
      <w:sz w:val="24"/>
    </w:rPr>
  </w:style>
  <w:style w:type="paragraph" w:styleId="Footer">
    <w:name w:val="footer"/>
    <w:basedOn w:val="Normal"/>
    <w:link w:val="FooterChar"/>
    <w:uiPriority w:val="99"/>
    <w:unhideWhenUsed/>
    <w:rsid w:val="00BB3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47F"/>
    <w:rPr>
      <w:rFonts w:ascii="Arial" w:hAnsi="Arial"/>
      <w:sz w:val="24"/>
    </w:rPr>
  </w:style>
  <w:style w:type="character" w:styleId="Hyperlink">
    <w:name w:val="Hyperlink"/>
    <w:basedOn w:val="DefaultParagraphFont"/>
    <w:uiPriority w:val="99"/>
    <w:unhideWhenUsed/>
    <w:rsid w:val="00F41A75"/>
    <w:rPr>
      <w:color w:val="0000FF" w:themeColor="hyperlink"/>
      <w:u w:val="single"/>
    </w:rPr>
  </w:style>
  <w:style w:type="character" w:styleId="CommentReference">
    <w:name w:val="annotation reference"/>
    <w:basedOn w:val="DefaultParagraphFont"/>
    <w:uiPriority w:val="99"/>
    <w:semiHidden/>
    <w:unhideWhenUsed/>
    <w:rsid w:val="00BB39F8"/>
    <w:rPr>
      <w:sz w:val="16"/>
      <w:szCs w:val="16"/>
    </w:rPr>
  </w:style>
  <w:style w:type="paragraph" w:styleId="CommentText">
    <w:name w:val="annotation text"/>
    <w:basedOn w:val="Normal"/>
    <w:link w:val="CommentTextChar"/>
    <w:uiPriority w:val="99"/>
    <w:semiHidden/>
    <w:unhideWhenUsed/>
    <w:rsid w:val="00BB39F8"/>
    <w:pPr>
      <w:spacing w:line="240" w:lineRule="auto"/>
    </w:pPr>
    <w:rPr>
      <w:sz w:val="20"/>
      <w:szCs w:val="20"/>
    </w:rPr>
  </w:style>
  <w:style w:type="character" w:customStyle="1" w:styleId="CommentTextChar">
    <w:name w:val="Comment Text Char"/>
    <w:basedOn w:val="DefaultParagraphFont"/>
    <w:link w:val="CommentText"/>
    <w:uiPriority w:val="99"/>
    <w:semiHidden/>
    <w:rsid w:val="00BB39F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B39F8"/>
    <w:rPr>
      <w:b/>
      <w:bCs/>
    </w:rPr>
  </w:style>
  <w:style w:type="character" w:customStyle="1" w:styleId="CommentSubjectChar">
    <w:name w:val="Comment Subject Char"/>
    <w:basedOn w:val="CommentTextChar"/>
    <w:link w:val="CommentSubject"/>
    <w:uiPriority w:val="99"/>
    <w:semiHidden/>
    <w:rsid w:val="00BB39F8"/>
    <w:rPr>
      <w:rFonts w:ascii="Arial" w:hAnsi="Arial"/>
      <w:b/>
      <w:bCs/>
      <w:sz w:val="20"/>
      <w:szCs w:val="20"/>
    </w:rPr>
  </w:style>
  <w:style w:type="paragraph" w:styleId="BalloonText">
    <w:name w:val="Balloon Text"/>
    <w:basedOn w:val="Normal"/>
    <w:link w:val="BalloonTextChar"/>
    <w:uiPriority w:val="99"/>
    <w:semiHidden/>
    <w:unhideWhenUsed/>
    <w:rsid w:val="00BB3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9F8"/>
    <w:rPr>
      <w:rFonts w:ascii="Tahoma" w:hAnsi="Tahoma" w:cs="Tahoma"/>
      <w:sz w:val="16"/>
      <w:szCs w:val="16"/>
    </w:rPr>
  </w:style>
  <w:style w:type="paragraph" w:styleId="NormalWeb">
    <w:name w:val="Normal (Web)"/>
    <w:basedOn w:val="Normal"/>
    <w:uiPriority w:val="99"/>
    <w:rsid w:val="007F2B50"/>
    <w:pPr>
      <w:spacing w:before="100" w:beforeAutospacing="1" w:after="100" w:afterAutospacing="1" w:line="240" w:lineRule="auto"/>
    </w:pPr>
    <w:rPr>
      <w:rFonts w:ascii="Arial Unicode MS" w:eastAsia="Times New Roman" w:hAnsi="Arial Unicode MS" w:cs="Arial Unicode MS"/>
      <w:szCs w:val="24"/>
    </w:rPr>
  </w:style>
  <w:style w:type="paragraph" w:styleId="Revision">
    <w:name w:val="Revision"/>
    <w:hidden/>
    <w:uiPriority w:val="99"/>
    <w:semiHidden/>
    <w:rsid w:val="0007293E"/>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7137C6"/>
    <w:rPr>
      <w:color w:val="605E5C"/>
      <w:shd w:val="clear" w:color="auto" w:fill="E1DFDD"/>
    </w:rPr>
  </w:style>
  <w:style w:type="character" w:styleId="FollowedHyperlink">
    <w:name w:val="FollowedHyperlink"/>
    <w:basedOn w:val="DefaultParagraphFont"/>
    <w:uiPriority w:val="99"/>
    <w:semiHidden/>
    <w:unhideWhenUsed/>
    <w:rsid w:val="002E0D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5017">
      <w:bodyDiv w:val="1"/>
      <w:marLeft w:val="0"/>
      <w:marRight w:val="0"/>
      <w:marTop w:val="0"/>
      <w:marBottom w:val="0"/>
      <w:divBdr>
        <w:top w:val="none" w:sz="0" w:space="0" w:color="auto"/>
        <w:left w:val="none" w:sz="0" w:space="0" w:color="auto"/>
        <w:bottom w:val="none" w:sz="0" w:space="0" w:color="auto"/>
        <w:right w:val="none" w:sz="0" w:space="0" w:color="auto"/>
      </w:divBdr>
    </w:div>
    <w:div w:id="100878690">
      <w:bodyDiv w:val="1"/>
      <w:marLeft w:val="0"/>
      <w:marRight w:val="0"/>
      <w:marTop w:val="0"/>
      <w:marBottom w:val="0"/>
      <w:divBdr>
        <w:top w:val="none" w:sz="0" w:space="0" w:color="auto"/>
        <w:left w:val="none" w:sz="0" w:space="0" w:color="auto"/>
        <w:bottom w:val="none" w:sz="0" w:space="0" w:color="auto"/>
        <w:right w:val="none" w:sz="0" w:space="0" w:color="auto"/>
      </w:divBdr>
    </w:div>
    <w:div w:id="917593076">
      <w:bodyDiv w:val="1"/>
      <w:marLeft w:val="0"/>
      <w:marRight w:val="0"/>
      <w:marTop w:val="0"/>
      <w:marBottom w:val="0"/>
      <w:divBdr>
        <w:top w:val="none" w:sz="0" w:space="0" w:color="auto"/>
        <w:left w:val="none" w:sz="0" w:space="0" w:color="auto"/>
        <w:bottom w:val="none" w:sz="0" w:space="0" w:color="auto"/>
        <w:right w:val="none" w:sz="0" w:space="0" w:color="auto"/>
      </w:divBdr>
    </w:div>
    <w:div w:id="1209760130">
      <w:bodyDiv w:val="1"/>
      <w:marLeft w:val="0"/>
      <w:marRight w:val="0"/>
      <w:marTop w:val="0"/>
      <w:marBottom w:val="0"/>
      <w:divBdr>
        <w:top w:val="none" w:sz="0" w:space="0" w:color="auto"/>
        <w:left w:val="none" w:sz="0" w:space="0" w:color="auto"/>
        <w:bottom w:val="none" w:sz="0" w:space="0" w:color="auto"/>
        <w:right w:val="none" w:sz="0" w:space="0" w:color="auto"/>
      </w:divBdr>
    </w:div>
    <w:div w:id="20665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qc.org.uk/guidance-providers/gps/gp-mythbuster-33-safeguarding-childr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27B2-C00E-47EE-B890-D5A5A7623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2120</Words>
  <Characters>12084</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Greater Huddersfield Clinical Commissioning Group</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Robinson (CCG)</dc:creator>
  <cp:lastModifiedBy>FULCHINI, Polly (NHS HUMBER AND NORTH YORKSHIRE ICB - 03Q)</cp:lastModifiedBy>
  <cp:revision>2</cp:revision>
  <dcterms:created xsi:type="dcterms:W3CDTF">2024-05-23T09:10:00Z</dcterms:created>
  <dcterms:modified xsi:type="dcterms:W3CDTF">2024-05-23T09:10:00Z</dcterms:modified>
  <cp:contentStatus/>
</cp:coreProperties>
</file>