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1D" w:rsidRDefault="00BA3E1D" w:rsidP="00BA3E1D">
      <w:pPr>
        <w:rPr>
          <w:rFonts w:ascii="Arial" w:hAnsi="Arial" w:cs="Arial"/>
          <w:b/>
          <w:bCs/>
          <w:color w:val="FF0000"/>
          <w:sz w:val="72"/>
          <w:szCs w:val="72"/>
        </w:rPr>
      </w:pPr>
      <w:r>
        <w:rPr>
          <w:rFonts w:ascii="Arial" w:hAnsi="Arial" w:cs="Arial"/>
          <w:b/>
          <w:bCs/>
          <w:color w:val="FF0000"/>
          <w:sz w:val="72"/>
          <w:szCs w:val="72"/>
          <w:lang w:eastAsia="en-GB"/>
        </w:rPr>
        <w:t>COVID-19 update</w:t>
      </w:r>
    </w:p>
    <w:p w:rsidR="00BA3E1D" w:rsidRDefault="00BA3E1D" w:rsidP="00BA3E1D">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5pm 15 June 2020</w:t>
      </w:r>
    </w:p>
    <w:p w:rsidR="00BA3E1D" w:rsidRDefault="00BA3E1D" w:rsidP="00BA3E1D">
      <w:pPr>
        <w:jc w:val="right"/>
        <w:rPr>
          <w:rFonts w:ascii="Arial" w:hAnsi="Arial" w:cs="Arial"/>
          <w:color w:val="FF0000"/>
          <w:sz w:val="12"/>
          <w:szCs w:val="12"/>
        </w:rPr>
      </w:pPr>
    </w:p>
    <w:p w:rsidR="00BA3E1D" w:rsidRDefault="00BA3E1D" w:rsidP="00BA3E1D">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BA3E1D" w:rsidRDefault="00BA3E1D" w:rsidP="00BA3E1D">
      <w:pPr>
        <w:rPr>
          <w:rFonts w:ascii="Arial" w:hAnsi="Arial" w:cs="Arial"/>
          <w:color w:val="FF0000"/>
          <w:sz w:val="12"/>
          <w:szCs w:val="12"/>
          <w:lang w:eastAsia="en-GB"/>
        </w:rPr>
      </w:pPr>
    </w:p>
    <w:p w:rsidR="00BA3E1D" w:rsidRDefault="00BA3E1D" w:rsidP="00BA3E1D">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COVID-19 web page</w:t>
      </w:r>
    </w:p>
    <w:p w:rsidR="00BA3E1D" w:rsidRDefault="00BA3E1D" w:rsidP="00BA3E1D">
      <w:pPr>
        <w:pStyle w:val="ListParagraph"/>
        <w:numPr>
          <w:ilvl w:val="0"/>
          <w:numId w:val="2"/>
        </w:numPr>
        <w:spacing w:line="276" w:lineRule="auto"/>
        <w:rPr>
          <w:rFonts w:ascii="Arial" w:hAnsi="Arial" w:cs="Arial"/>
          <w:color w:val="FF0000"/>
          <w:sz w:val="28"/>
          <w:szCs w:val="28"/>
          <w:lang w:eastAsia="en-GB"/>
        </w:rPr>
      </w:pPr>
      <w:r>
        <w:rPr>
          <w:rFonts w:ascii="Arial" w:hAnsi="Arial" w:cs="Arial"/>
          <w:color w:val="FF0000"/>
          <w:sz w:val="28"/>
          <w:szCs w:val="28"/>
          <w:lang w:eastAsia="en-GB"/>
        </w:rPr>
        <w:t>NHS Test and Trace: implications for GP practice settings</w:t>
      </w:r>
    </w:p>
    <w:p w:rsidR="00BA3E1D" w:rsidRDefault="00BA3E1D" w:rsidP="00BA3E1D">
      <w:pPr>
        <w:pStyle w:val="ListParagraph"/>
        <w:numPr>
          <w:ilvl w:val="0"/>
          <w:numId w:val="2"/>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Updated LARC provision guidance</w:t>
      </w:r>
    </w:p>
    <w:p w:rsidR="00BA3E1D" w:rsidRDefault="00BA3E1D" w:rsidP="00BA3E1D">
      <w:pPr>
        <w:rPr>
          <w:rFonts w:ascii="Arial" w:hAnsi="Arial" w:cs="Arial"/>
          <w:b/>
          <w:bCs/>
          <w:color w:val="000000"/>
          <w:sz w:val="24"/>
          <w:szCs w:val="24"/>
          <w:lang w:eastAsia="en-GB"/>
        </w:rPr>
      </w:pPr>
    </w:p>
    <w:p w:rsidR="00BA3E1D" w:rsidRDefault="00BA3E1D" w:rsidP="00BA3E1D">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BA3E1D" w:rsidRDefault="00BA3E1D" w:rsidP="00BA3E1D">
      <w:pPr>
        <w:rPr>
          <w:rFonts w:ascii="Arial" w:hAnsi="Arial" w:cs="Arial"/>
          <w:color w:val="000000"/>
          <w:sz w:val="12"/>
          <w:szCs w:val="12"/>
          <w:lang w:eastAsia="en-GB"/>
        </w:rPr>
      </w:pPr>
    </w:p>
    <w:p w:rsidR="00BA3E1D" w:rsidRDefault="00BA3E1D" w:rsidP="00BA3E1D">
      <w:pPr>
        <w:pStyle w:val="ListParagraph"/>
        <w:numPr>
          <w:ilvl w:val="0"/>
          <w:numId w:val="3"/>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BA3E1D" w:rsidRDefault="00BA3E1D" w:rsidP="00BA3E1D">
      <w:pPr>
        <w:rPr>
          <w:rFonts w:ascii="Arial" w:hAnsi="Arial" w:cs="Arial"/>
          <w:color w:val="000000"/>
          <w:sz w:val="12"/>
          <w:szCs w:val="12"/>
          <w:lang w:eastAsia="en-GB"/>
        </w:rPr>
      </w:pPr>
    </w:p>
    <w:p w:rsidR="00BA3E1D" w:rsidRDefault="00BA3E1D" w:rsidP="00BA3E1D">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BA3E1D" w:rsidRDefault="00BA3E1D" w:rsidP="00BA3E1D">
      <w:pPr>
        <w:rPr>
          <w:rFonts w:ascii="Arial" w:hAnsi="Arial" w:cs="Arial"/>
          <w:color w:val="FF0000"/>
          <w:sz w:val="12"/>
          <w:szCs w:val="12"/>
          <w:lang w:eastAsia="en-GB"/>
        </w:rPr>
      </w:pPr>
    </w:p>
    <w:p w:rsidR="00BA3E1D" w:rsidRDefault="00BA3E1D" w:rsidP="00BA3E1D">
      <w:pPr>
        <w:rPr>
          <w:rFonts w:ascii="Arial" w:hAnsi="Arial" w:cs="Arial"/>
          <w:b/>
          <w:bCs/>
          <w:color w:val="FF0000"/>
          <w:sz w:val="36"/>
          <w:szCs w:val="36"/>
          <w:lang w:eastAsia="en-GB"/>
        </w:rPr>
      </w:pPr>
      <w:r>
        <w:rPr>
          <w:rFonts w:ascii="Arial" w:hAnsi="Arial" w:cs="Arial"/>
          <w:b/>
          <w:bCs/>
          <w:color w:val="FF0000"/>
          <w:sz w:val="36"/>
          <w:szCs w:val="36"/>
          <w:lang w:eastAsia="en-GB"/>
        </w:rPr>
        <w:t>Updates to the COVID-19 web page</w:t>
      </w:r>
    </w:p>
    <w:p w:rsidR="00BA3E1D" w:rsidRDefault="00BA3E1D" w:rsidP="00BA3E1D">
      <w:pPr>
        <w:rPr>
          <w:rFonts w:ascii="Arial" w:hAnsi="Arial" w:cs="Arial"/>
          <w:color w:val="000000"/>
          <w:sz w:val="12"/>
          <w:szCs w:val="12"/>
          <w:lang w:eastAsia="en-GB"/>
        </w:rPr>
      </w:pPr>
    </w:p>
    <w:p w:rsidR="00BA3E1D" w:rsidRDefault="00BA3E1D" w:rsidP="00BA3E1D">
      <w:pPr>
        <w:shd w:val="clear" w:color="auto" w:fill="FFFFFF"/>
        <w:rPr>
          <w:rFonts w:ascii="Arial" w:hAnsi="Arial" w:cs="Arial"/>
          <w:color w:val="FF0000"/>
          <w:sz w:val="28"/>
          <w:szCs w:val="28"/>
          <w:lang w:eastAsia="en-GB"/>
        </w:rPr>
      </w:pPr>
      <w:r>
        <w:rPr>
          <w:rFonts w:ascii="Arial" w:hAnsi="Arial" w:cs="Arial"/>
          <w:color w:val="FF0000"/>
          <w:sz w:val="28"/>
          <w:szCs w:val="28"/>
          <w:lang w:eastAsia="en-GB"/>
        </w:rPr>
        <w:t>National and regional updates</w:t>
      </w:r>
    </w:p>
    <w:p w:rsidR="00BA3E1D" w:rsidRDefault="00BA3E1D" w:rsidP="00BA3E1D">
      <w:pPr>
        <w:shd w:val="clear" w:color="auto" w:fill="FFFFFF"/>
        <w:spacing w:line="312" w:lineRule="atLeast"/>
        <w:rPr>
          <w:rFonts w:ascii="Arial" w:hAnsi="Arial" w:cs="Arial"/>
          <w:color w:val="0070C0"/>
          <w:sz w:val="24"/>
          <w:szCs w:val="24"/>
          <w:u w:val="single"/>
          <w:lang w:eastAsia="en-GB"/>
        </w:rPr>
      </w:pPr>
      <w:hyperlink r:id="rId7" w:history="1">
        <w:r>
          <w:rPr>
            <w:rStyle w:val="Hyperlink"/>
            <w:rFonts w:ascii="Arial" w:hAnsi="Arial" w:cs="Arial"/>
            <w:color w:val="0070C0"/>
            <w:sz w:val="24"/>
            <w:szCs w:val="24"/>
            <w:lang w:eastAsia="en-GB"/>
          </w:rPr>
          <w:t>Restoration of SRH Services during Covid-19 and Beyond - FSRH Statement</w:t>
        </w:r>
      </w:hyperlink>
      <w:r>
        <w:rPr>
          <w:rFonts w:ascii="Arial" w:hAnsi="Arial" w:cs="Arial"/>
          <w:color w:val="0070C0"/>
          <w:sz w:val="24"/>
          <w:szCs w:val="24"/>
          <w:u w:val="single"/>
          <w:lang w:eastAsia="en-GB"/>
        </w:rPr>
        <w:t> </w:t>
      </w:r>
    </w:p>
    <w:p w:rsidR="00BA3E1D" w:rsidRDefault="00BA3E1D" w:rsidP="00BA3E1D">
      <w:pPr>
        <w:shd w:val="clear" w:color="auto" w:fill="FFFFFF"/>
        <w:spacing w:line="312" w:lineRule="atLeast"/>
        <w:rPr>
          <w:rFonts w:ascii="Arial" w:hAnsi="Arial" w:cs="Arial"/>
          <w:color w:val="0070C0"/>
          <w:sz w:val="24"/>
          <w:szCs w:val="24"/>
          <w:u w:val="single"/>
          <w:lang w:eastAsia="en-GB"/>
        </w:rPr>
      </w:pPr>
      <w:hyperlink r:id="rId8" w:history="1">
        <w:r>
          <w:rPr>
            <w:rStyle w:val="Hyperlink"/>
            <w:rFonts w:ascii="Arial" w:hAnsi="Arial" w:cs="Arial"/>
            <w:color w:val="0070C0"/>
            <w:sz w:val="24"/>
            <w:szCs w:val="24"/>
            <w:lang w:eastAsia="en-GB"/>
          </w:rPr>
          <w:t>Restoration of SRH Services during Covid-19 at a Glance</w:t>
        </w:r>
      </w:hyperlink>
      <w:r>
        <w:rPr>
          <w:rFonts w:ascii="Arial" w:hAnsi="Arial" w:cs="Arial"/>
          <w:color w:val="0070C0"/>
          <w:sz w:val="24"/>
          <w:szCs w:val="24"/>
          <w:u w:val="single"/>
          <w:lang w:eastAsia="en-GB"/>
        </w:rPr>
        <w:t> </w:t>
      </w:r>
    </w:p>
    <w:p w:rsidR="00BA3E1D" w:rsidRDefault="00BA3E1D" w:rsidP="00BA3E1D">
      <w:pPr>
        <w:shd w:val="clear" w:color="auto" w:fill="FFFFFF"/>
        <w:spacing w:line="495" w:lineRule="atLeast"/>
        <w:rPr>
          <w:rFonts w:ascii="Arial" w:hAnsi="Arial" w:cs="Arial"/>
          <w:color w:val="FF0000"/>
          <w:sz w:val="28"/>
          <w:szCs w:val="28"/>
          <w:lang w:eastAsia="en-GB"/>
        </w:rPr>
      </w:pPr>
      <w:r>
        <w:rPr>
          <w:rFonts w:ascii="Arial" w:hAnsi="Arial" w:cs="Arial"/>
          <w:color w:val="FF0000"/>
          <w:sz w:val="28"/>
          <w:szCs w:val="28"/>
          <w:lang w:eastAsia="en-GB"/>
        </w:rPr>
        <w:t>Test and Trace</w:t>
      </w:r>
    </w:p>
    <w:p w:rsidR="00BA3E1D" w:rsidRDefault="00BA3E1D" w:rsidP="00BA3E1D">
      <w:pPr>
        <w:shd w:val="clear" w:color="auto" w:fill="FFFFFF"/>
        <w:spacing w:line="312" w:lineRule="atLeast"/>
        <w:rPr>
          <w:rFonts w:ascii="Arial" w:hAnsi="Arial" w:cs="Arial"/>
          <w:color w:val="231F20"/>
          <w:sz w:val="24"/>
          <w:szCs w:val="24"/>
          <w:u w:val="single"/>
          <w:lang w:eastAsia="en-GB"/>
        </w:rPr>
      </w:pPr>
      <w:hyperlink r:id="rId9" w:history="1">
        <w:r>
          <w:rPr>
            <w:rStyle w:val="Hyperlink"/>
            <w:rFonts w:ascii="Arial" w:hAnsi="Arial" w:cs="Arial"/>
            <w:color w:val="0070C0"/>
            <w:sz w:val="24"/>
            <w:szCs w:val="24"/>
            <w:lang w:eastAsia="en-GB"/>
          </w:rPr>
          <w:t>NHS Test and Trace: implications for GP practice settings</w:t>
        </w:r>
      </w:hyperlink>
      <w:r>
        <w:rPr>
          <w:rFonts w:ascii="Arial" w:hAnsi="Arial" w:cs="Arial"/>
          <w:color w:val="0070C0"/>
          <w:sz w:val="24"/>
          <w:szCs w:val="24"/>
          <w:u w:val="single"/>
          <w:lang w:eastAsia="en-GB"/>
        </w:rPr>
        <w:t> </w:t>
      </w:r>
    </w:p>
    <w:p w:rsidR="00BA3E1D" w:rsidRDefault="00BA3E1D" w:rsidP="00BA3E1D">
      <w:pPr>
        <w:shd w:val="clear" w:color="auto" w:fill="FFFFFF"/>
        <w:rPr>
          <w:rFonts w:ascii="Arial" w:hAnsi="Arial" w:cs="Arial"/>
          <w:color w:val="FF0000"/>
          <w:sz w:val="12"/>
          <w:szCs w:val="12"/>
          <w:lang w:eastAsia="en-GB"/>
        </w:rPr>
      </w:pPr>
    </w:p>
    <w:p w:rsidR="00BA3E1D" w:rsidRDefault="00BA3E1D" w:rsidP="00BA3E1D">
      <w:pPr>
        <w:rPr>
          <w:rFonts w:ascii="Arial" w:hAnsi="Arial" w:cs="Arial"/>
          <w:color w:val="000000"/>
          <w:sz w:val="24"/>
          <w:szCs w:val="24"/>
          <w:lang w:eastAsia="en-GB"/>
        </w:rPr>
      </w:pPr>
    </w:p>
    <w:p w:rsidR="00BA3E1D" w:rsidRDefault="00BA3E1D" w:rsidP="00BA3E1D">
      <w:pPr>
        <w:spacing w:line="288" w:lineRule="auto"/>
        <w:rPr>
          <w:rFonts w:ascii="Arial" w:hAnsi="Arial" w:cs="Arial"/>
          <w:b/>
          <w:bCs/>
          <w:sz w:val="36"/>
          <w:szCs w:val="36"/>
        </w:rPr>
      </w:pPr>
      <w:r>
        <w:rPr>
          <w:rFonts w:ascii="Arial" w:hAnsi="Arial" w:cs="Arial"/>
          <w:b/>
          <w:bCs/>
          <w:color w:val="FF0000"/>
          <w:sz w:val="36"/>
          <w:szCs w:val="36"/>
        </w:rPr>
        <w:t>NHS Test and Trace: implications for GP practice settings</w:t>
      </w:r>
    </w:p>
    <w:p w:rsidR="00BA3E1D" w:rsidRDefault="00BA3E1D" w:rsidP="00BA3E1D">
      <w:pPr>
        <w:spacing w:line="288" w:lineRule="auto"/>
        <w:rPr>
          <w:rFonts w:ascii="Arial" w:hAnsi="Arial" w:cs="Arial"/>
          <w:sz w:val="12"/>
          <w:szCs w:val="12"/>
        </w:rPr>
      </w:pPr>
    </w:p>
    <w:p w:rsidR="00BA3E1D" w:rsidRDefault="00BA3E1D" w:rsidP="00BA3E1D">
      <w:pPr>
        <w:spacing w:line="288" w:lineRule="auto"/>
        <w:rPr>
          <w:rFonts w:ascii="Arial" w:hAnsi="Arial" w:cs="Arial"/>
          <w:sz w:val="24"/>
          <w:szCs w:val="24"/>
        </w:rPr>
      </w:pPr>
      <w:r>
        <w:rPr>
          <w:rFonts w:ascii="Arial" w:hAnsi="Arial" w:cs="Arial"/>
          <w:sz w:val="24"/>
          <w:szCs w:val="24"/>
        </w:rPr>
        <w:lastRenderedPageBreak/>
        <w:t xml:space="preserve">Following the </w:t>
      </w:r>
      <w:hyperlink r:id="rId10" w:history="1">
        <w:r>
          <w:rPr>
            <w:rStyle w:val="Hyperlink"/>
            <w:rFonts w:ascii="Arial" w:hAnsi="Arial" w:cs="Arial"/>
            <w:color w:val="0070C0"/>
            <w:sz w:val="24"/>
            <w:szCs w:val="24"/>
          </w:rPr>
          <w:t>communication</w:t>
        </w:r>
      </w:hyperlink>
      <w:r>
        <w:rPr>
          <w:rFonts w:ascii="Arial" w:hAnsi="Arial" w:cs="Arial"/>
          <w:sz w:val="24"/>
          <w:szCs w:val="24"/>
        </w:rPr>
        <w:t xml:space="preserve"> to practices from NHS England and NHS Improvement dated 9</w:t>
      </w:r>
      <w:r>
        <w:rPr>
          <w:rFonts w:ascii="Arial" w:hAnsi="Arial" w:cs="Arial"/>
          <w:sz w:val="24"/>
          <w:szCs w:val="24"/>
          <w:vertAlign w:val="superscript"/>
        </w:rPr>
        <w:t>th</w:t>
      </w:r>
      <w:r>
        <w:rPr>
          <w:rFonts w:ascii="Arial" w:hAnsi="Arial" w:cs="Arial"/>
          <w:sz w:val="24"/>
          <w:szCs w:val="24"/>
        </w:rPr>
        <w:t xml:space="preserve"> June 2020 (Appendix A), the CCGs and LMC have worked together to offer advice to practices with regards to the implications of the Test and Trace service for Primary Care, and reducing the risk of nosocomial infection.  The protection of staff and resilience of services to ensure high quality care remains of paramount importance. </w:t>
      </w:r>
      <w:r>
        <w:rPr>
          <w:rFonts w:ascii="Arial" w:hAnsi="Arial" w:cs="Arial"/>
          <w:color w:val="FF0000"/>
          <w:sz w:val="24"/>
          <w:szCs w:val="24"/>
        </w:rPr>
        <w:t>Please see the link above for the full information.</w:t>
      </w:r>
    </w:p>
    <w:p w:rsidR="00BA3E1D" w:rsidRDefault="00BA3E1D" w:rsidP="00BA3E1D">
      <w:pPr>
        <w:rPr>
          <w:rFonts w:ascii="Arial" w:hAnsi="Arial" w:cs="Arial"/>
          <w:color w:val="000000"/>
          <w:sz w:val="12"/>
          <w:szCs w:val="12"/>
        </w:rPr>
      </w:pPr>
    </w:p>
    <w:p w:rsidR="00BA3E1D" w:rsidRDefault="00BA3E1D" w:rsidP="00BA3E1D">
      <w:pPr>
        <w:rPr>
          <w:rFonts w:ascii="Arial" w:hAnsi="Arial" w:cs="Arial"/>
          <w:b/>
          <w:bCs/>
          <w:color w:val="FF0000"/>
          <w:sz w:val="36"/>
          <w:szCs w:val="36"/>
        </w:rPr>
      </w:pPr>
      <w:r>
        <w:rPr>
          <w:rFonts w:ascii="Arial" w:hAnsi="Arial" w:cs="Arial"/>
          <w:b/>
          <w:bCs/>
          <w:color w:val="FF0000"/>
          <w:sz w:val="36"/>
          <w:szCs w:val="36"/>
        </w:rPr>
        <w:t>Updated LARC provision guidance</w:t>
      </w:r>
    </w:p>
    <w:p w:rsidR="00BA3E1D" w:rsidRDefault="00BA3E1D" w:rsidP="00BA3E1D">
      <w:pPr>
        <w:rPr>
          <w:rFonts w:ascii="Arial" w:hAnsi="Arial" w:cs="Arial"/>
          <w:sz w:val="12"/>
          <w:szCs w:val="12"/>
        </w:rPr>
      </w:pPr>
    </w:p>
    <w:p w:rsidR="00BA3E1D" w:rsidRDefault="00BA3E1D" w:rsidP="00BA3E1D">
      <w:pPr>
        <w:rPr>
          <w:rFonts w:ascii="Arial" w:hAnsi="Arial" w:cs="Arial"/>
          <w:sz w:val="24"/>
          <w:szCs w:val="24"/>
        </w:rPr>
      </w:pPr>
      <w:r>
        <w:rPr>
          <w:rFonts w:ascii="Arial" w:hAnsi="Arial" w:cs="Arial"/>
          <w:sz w:val="24"/>
          <w:szCs w:val="24"/>
        </w:rPr>
        <w:t xml:space="preserve">The FSRH has issued updated guidance on restoration of sexual and reproductive health services during Covid-19.  Please note the phased approach and suggested recommencement of LARC for vulnerable groups.  Pathways into </w:t>
      </w:r>
      <w:proofErr w:type="spellStart"/>
      <w:r>
        <w:rPr>
          <w:rFonts w:ascii="Arial" w:hAnsi="Arial" w:cs="Arial"/>
          <w:sz w:val="24"/>
          <w:szCs w:val="24"/>
        </w:rPr>
        <w:t>YorSexual</w:t>
      </w:r>
      <w:proofErr w:type="spellEnd"/>
      <w:r>
        <w:rPr>
          <w:rFonts w:ascii="Arial" w:hAnsi="Arial" w:cs="Arial"/>
          <w:sz w:val="24"/>
          <w:szCs w:val="24"/>
        </w:rPr>
        <w:t xml:space="preserve"> Health for complex cases are in place in the same way as they were before Covid-19.  </w:t>
      </w:r>
    </w:p>
    <w:p w:rsidR="00BA3E1D" w:rsidRDefault="00BA3E1D" w:rsidP="00BA3E1D">
      <w:pPr>
        <w:rPr>
          <w:rFonts w:ascii="Arial" w:hAnsi="Arial" w:cs="Arial"/>
          <w:sz w:val="12"/>
          <w:szCs w:val="12"/>
        </w:rPr>
      </w:pPr>
    </w:p>
    <w:p w:rsidR="00BA3E1D" w:rsidRDefault="00BA3E1D" w:rsidP="00BA3E1D">
      <w:pPr>
        <w:rPr>
          <w:rFonts w:ascii="Arial" w:hAnsi="Arial" w:cs="Arial"/>
          <w:color w:val="000000"/>
          <w:sz w:val="24"/>
          <w:szCs w:val="24"/>
          <w:lang w:eastAsia="en-GB"/>
        </w:rPr>
      </w:pPr>
      <w:r>
        <w:rPr>
          <w:rFonts w:ascii="Arial" w:hAnsi="Arial" w:cs="Arial"/>
          <w:sz w:val="24"/>
          <w:szCs w:val="24"/>
        </w:rPr>
        <w:t>For the time being, previous activity reporting and invoicing processes remain unchanged. Please see the links above for more information.</w:t>
      </w:r>
    </w:p>
    <w:p w:rsidR="007E000D" w:rsidRDefault="00BA3E1D">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26F2"/>
    <w:multiLevelType w:val="hybridMultilevel"/>
    <w:tmpl w:val="72C686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B5C0A63"/>
    <w:multiLevelType w:val="hybridMultilevel"/>
    <w:tmpl w:val="2FD2D2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1D"/>
    <w:rsid w:val="00196207"/>
    <w:rsid w:val="008422C7"/>
    <w:rsid w:val="00BA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3E1D"/>
    <w:rPr>
      <w:color w:val="0000FF"/>
      <w:u w:val="single"/>
    </w:rPr>
  </w:style>
  <w:style w:type="paragraph" w:styleId="ListParagraph">
    <w:name w:val="List Paragraph"/>
    <w:basedOn w:val="Normal"/>
    <w:uiPriority w:val="34"/>
    <w:qFormat/>
    <w:rsid w:val="00BA3E1D"/>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3E1D"/>
    <w:rPr>
      <w:color w:val="0000FF"/>
      <w:u w:val="single"/>
    </w:rPr>
  </w:style>
  <w:style w:type="paragraph" w:styleId="ListParagraph">
    <w:name w:val="List Paragraph"/>
    <w:basedOn w:val="Normal"/>
    <w:uiPriority w:val="34"/>
    <w:qFormat/>
    <w:rsid w:val="00BA3E1D"/>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4082&amp;inline=1" TargetMode="External"/><Relationship Id="rId3" Type="http://schemas.microsoft.com/office/2007/relationships/stylesWithEffects" Target="stylesWithEffects.xml"/><Relationship Id="rId7" Type="http://schemas.openxmlformats.org/officeDocument/2006/relationships/hyperlink" Target="https://www.valeofyorkccg.nhs.uk/seecmsfile/?id=4083&amp;inlin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gland.nhs.uk/coronavirus/wp-content/uploads/sites/52/2020/06/C0586-minimising-nosocomial-infections-in-the-nhs.pdf" TargetMode="External"/><Relationship Id="rId4" Type="http://schemas.openxmlformats.org/officeDocument/2006/relationships/settings" Target="settings.xml"/><Relationship Id="rId9" Type="http://schemas.openxmlformats.org/officeDocument/2006/relationships/hyperlink" Target="https://www.valeofyorkccg.nhs.uk/seecmsfile/?id=4081&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2020-06-16T10:08:00Z</dcterms:created>
  <dcterms:modified xsi:type="dcterms:W3CDTF">2020-06-16T10:09:00Z</dcterms:modified>
</cp:coreProperties>
</file>