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783" w:rsidRDefault="00011783" w:rsidP="00011783">
      <w:pPr>
        <w:pStyle w:val="Heading2"/>
        <w:spacing w:before="199" w:beforeAutospacing="0" w:after="199" w:afterAutospacing="0" w:line="276" w:lineRule="auto"/>
        <w:jc w:val="right"/>
        <w:rPr>
          <w:rFonts w:ascii="Arial" w:eastAsia="Times New Roman" w:hAnsi="Arial" w:cs="Arial"/>
          <w:sz w:val="24"/>
          <w:szCs w:val="24"/>
        </w:rPr>
      </w:pPr>
      <w:r>
        <w:rPr>
          <w:rFonts w:ascii="Arial" w:eastAsia="Times New Roman" w:hAnsi="Arial" w:cs="Arial"/>
          <w:noProof/>
          <w:sz w:val="24"/>
          <w:szCs w:val="24"/>
        </w:rPr>
        <w:drawing>
          <wp:inline distT="0" distB="0" distL="0" distR="0">
            <wp:extent cx="2381250" cy="91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G logo.jpg"/>
                    <pic:cNvPicPr/>
                  </pic:nvPicPr>
                  <pic:blipFill>
                    <a:blip r:embed="rId6">
                      <a:extLst>
                        <a:ext uri="{28A0092B-C50C-407E-A947-70E740481C1C}">
                          <a14:useLocalDpi xmlns:a14="http://schemas.microsoft.com/office/drawing/2010/main" val="0"/>
                        </a:ext>
                      </a:extLst>
                    </a:blip>
                    <a:stretch>
                      <a:fillRect/>
                    </a:stretch>
                  </pic:blipFill>
                  <pic:spPr>
                    <a:xfrm>
                      <a:off x="0" y="0"/>
                      <a:ext cx="2389909" cy="922969"/>
                    </a:xfrm>
                    <a:prstGeom prst="rect">
                      <a:avLst/>
                    </a:prstGeom>
                  </pic:spPr>
                </pic:pic>
              </a:graphicData>
            </a:graphic>
          </wp:inline>
        </w:drawing>
      </w:r>
    </w:p>
    <w:p w:rsidR="00011783" w:rsidRDefault="00011783" w:rsidP="00011783">
      <w:pPr>
        <w:pStyle w:val="Heading2"/>
        <w:spacing w:before="199" w:beforeAutospacing="0" w:after="199" w:afterAutospacing="0" w:line="276" w:lineRule="auto"/>
        <w:rPr>
          <w:rFonts w:ascii="Arial" w:eastAsia="Times New Roman" w:hAnsi="Arial" w:cs="Arial"/>
          <w:sz w:val="24"/>
          <w:szCs w:val="24"/>
        </w:rPr>
      </w:pPr>
      <w:bookmarkStart w:id="0" w:name="_GoBack"/>
      <w:r>
        <w:rPr>
          <w:rFonts w:ascii="Arial" w:eastAsia="Times New Roman" w:hAnsi="Arial" w:cs="Arial"/>
          <w:sz w:val="24"/>
          <w:szCs w:val="24"/>
        </w:rPr>
        <w:t>EPS nomination and direction of electronic prescriptions</w:t>
      </w:r>
    </w:p>
    <w:bookmarkEnd w:id="0"/>
    <w:p w:rsidR="00011783" w:rsidRDefault="00011783" w:rsidP="00011783">
      <w:pPr>
        <w:pStyle w:val="NormalWeb"/>
        <w:spacing w:before="240" w:beforeAutospacing="0" w:after="0" w:afterAutospacing="0" w:line="276" w:lineRule="auto"/>
        <w:jc w:val="right"/>
        <w:rPr>
          <w:rFonts w:ascii="Arial" w:hAnsi="Arial" w:cs="Arial"/>
        </w:rPr>
      </w:pPr>
      <w:r>
        <w:rPr>
          <w:rFonts w:ascii="Arial" w:hAnsi="Arial" w:cs="Arial"/>
        </w:rPr>
        <w:t>Correct as of 11 June 2020</w:t>
      </w:r>
    </w:p>
    <w:p w:rsidR="00011783" w:rsidRDefault="00011783" w:rsidP="00011783">
      <w:pPr>
        <w:pStyle w:val="NormalWeb"/>
        <w:spacing w:before="240" w:beforeAutospacing="0" w:after="0" w:afterAutospacing="0" w:line="276" w:lineRule="auto"/>
        <w:jc w:val="both"/>
        <w:rPr>
          <w:rFonts w:ascii="Arial" w:hAnsi="Arial" w:cs="Arial"/>
        </w:rPr>
      </w:pPr>
      <w:r>
        <w:rPr>
          <w:rFonts w:ascii="Arial" w:hAnsi="Arial" w:cs="Arial"/>
        </w:rPr>
        <w:t>In April 2005, the National Health Service (Primary Medical Services) (Miscellaneous Amendments) Regulations 2005 came into force which stipulates that when operating the </w:t>
      </w:r>
      <w:hyperlink r:id="rId7" w:history="1">
        <w:r>
          <w:rPr>
            <w:rStyle w:val="Hyperlink"/>
            <w:rFonts w:ascii="Arial" w:hAnsi="Arial" w:cs="Arial"/>
            <w:b/>
            <w:bCs/>
          </w:rPr>
          <w:t>Electronic Prescription Service (EPS)</w:t>
        </w:r>
      </w:hyperlink>
      <w:r>
        <w:rPr>
          <w:rFonts w:ascii="Arial" w:hAnsi="Arial" w:cs="Arial"/>
        </w:rPr>
        <w:t>, a prescriber must not seek to persuade a patient to </w:t>
      </w:r>
      <w:hyperlink r:id="rId8" w:history="1">
        <w:r>
          <w:rPr>
            <w:rStyle w:val="Hyperlink"/>
            <w:rFonts w:ascii="Arial" w:hAnsi="Arial" w:cs="Arial"/>
            <w:b/>
            <w:bCs/>
          </w:rPr>
          <w:t>nominate</w:t>
        </w:r>
      </w:hyperlink>
      <w:r>
        <w:rPr>
          <w:rFonts w:ascii="Arial" w:hAnsi="Arial" w:cs="Arial"/>
        </w:rPr>
        <w:t> a dispenser recommended by the prescriber. The regulations also state that, if asked to recommend a chemist, the prescriber is to provide a list of all chemists in the area that operate EPS, as provided by the local NHS England Team (this provision is continued by the National Health Service (General Medical Services Contracts) Regulations 2015 – see Regulation 58 (4)).</w:t>
      </w:r>
    </w:p>
    <w:p w:rsidR="00011783" w:rsidRDefault="00011783" w:rsidP="00011783">
      <w:pPr>
        <w:spacing w:before="240" w:line="276" w:lineRule="auto"/>
        <w:jc w:val="both"/>
        <w:rPr>
          <w:rFonts w:ascii="Arial" w:eastAsia="Times New Roman" w:hAnsi="Arial" w:cs="Arial"/>
          <w:sz w:val="24"/>
          <w:szCs w:val="24"/>
        </w:rPr>
      </w:pPr>
      <w:r>
        <w:rPr>
          <w:rFonts w:ascii="Arial" w:eastAsia="Times New Roman" w:hAnsi="Arial" w:cs="Arial"/>
          <w:sz w:val="24"/>
          <w:szCs w:val="24"/>
        </w:rPr>
        <w:t>The GMC has</w:t>
      </w:r>
      <w:r>
        <w:rPr>
          <w:rFonts w:ascii="Arial" w:eastAsia="Times New Roman" w:hAnsi="Arial" w:cs="Arial"/>
          <w:sz w:val="24"/>
          <w:szCs w:val="24"/>
        </w:rPr>
        <w:t> </w:t>
      </w:r>
      <w:hyperlink r:id="rId9" w:tgtFrame="_blank" w:history="1">
        <w:r>
          <w:rPr>
            <w:rStyle w:val="Hyperlink"/>
            <w:rFonts w:ascii="Arial" w:eastAsia="Times New Roman" w:hAnsi="Arial" w:cs="Arial"/>
            <w:b/>
            <w:bCs/>
            <w:sz w:val="24"/>
            <w:szCs w:val="24"/>
          </w:rPr>
          <w:t>guidelines</w:t>
        </w:r>
      </w:hyperlink>
      <w:r>
        <w:rPr>
          <w:rFonts w:ascii="Arial" w:eastAsia="Times New Roman" w:hAnsi="Arial" w:cs="Arial"/>
          <w:sz w:val="24"/>
          <w:szCs w:val="24"/>
        </w:rPr>
        <w:t> (see the section called “Decisions on Patient Care”) linked to the direction of prescriptions which make it clear that patients should be free to choose from which pharmacy to have their prescribed medicines dispensed and doctors must not allow their own or their employers’ financial or commercial interests in a pharmacy to influence the way they advise their patients. A doctor’s failure to adhere to these standards could form the basis of a complaint of professional misconduct.</w:t>
      </w:r>
    </w:p>
    <w:p w:rsidR="00011783" w:rsidRPr="00011783" w:rsidRDefault="00011783" w:rsidP="00011783">
      <w:pPr>
        <w:spacing w:before="240" w:line="276" w:lineRule="auto"/>
        <w:jc w:val="both"/>
        <w:rPr>
          <w:rFonts w:ascii="Arial" w:eastAsia="Times New Roman" w:hAnsi="Arial" w:cs="Arial"/>
          <w:b/>
          <w:sz w:val="24"/>
          <w:szCs w:val="24"/>
        </w:rPr>
      </w:pPr>
      <w:r w:rsidRPr="00011783">
        <w:rPr>
          <w:rFonts w:ascii="Arial" w:eastAsia="Times New Roman" w:hAnsi="Arial" w:cs="Arial"/>
          <w:b/>
          <w:sz w:val="24"/>
          <w:szCs w:val="24"/>
        </w:rPr>
        <w:t>BMA and PSNC Joint Guidance – Jan 2020</w:t>
      </w:r>
    </w:p>
    <w:p w:rsidR="00011783" w:rsidRDefault="00011783" w:rsidP="00011783">
      <w:pPr>
        <w:pStyle w:val="NormalWeb"/>
        <w:spacing w:before="240" w:beforeAutospacing="0" w:after="0" w:afterAutospacing="0" w:line="276" w:lineRule="auto"/>
        <w:jc w:val="both"/>
        <w:rPr>
          <w:rFonts w:ascii="Arial" w:hAnsi="Arial" w:cs="Arial"/>
        </w:rPr>
      </w:pPr>
      <w:hyperlink r:id="rId10" w:history="1">
        <w:r>
          <w:rPr>
            <w:rStyle w:val="Hyperlink"/>
            <w:rFonts w:ascii="Arial" w:hAnsi="Arial" w:cs="Arial"/>
          </w:rPr>
          <w:t>https://www.bma.org.uk/advice-and-support/gp-practices/prescribing/prescription-direction-to-certain-pharmacies</w:t>
        </w:r>
      </w:hyperlink>
    </w:p>
    <w:p w:rsidR="00011783" w:rsidRPr="00011783" w:rsidRDefault="00011783" w:rsidP="00011783">
      <w:pPr>
        <w:spacing w:before="240" w:line="276" w:lineRule="auto"/>
        <w:jc w:val="both"/>
        <w:rPr>
          <w:rFonts w:ascii="Arial" w:eastAsia="Times New Roman" w:hAnsi="Arial" w:cs="Arial"/>
          <w:b/>
          <w:sz w:val="24"/>
          <w:szCs w:val="24"/>
        </w:rPr>
      </w:pPr>
      <w:r w:rsidRPr="00011783">
        <w:rPr>
          <w:rFonts w:ascii="Arial" w:eastAsia="Times New Roman" w:hAnsi="Arial" w:cs="Arial"/>
          <w:b/>
          <w:sz w:val="24"/>
          <w:szCs w:val="24"/>
        </w:rPr>
        <w:t>GMC Guidance</w:t>
      </w:r>
    </w:p>
    <w:p w:rsidR="00011783" w:rsidRDefault="00011783" w:rsidP="00011783">
      <w:pPr>
        <w:pStyle w:val="NormalWeb"/>
        <w:spacing w:before="240" w:beforeAutospacing="0" w:after="0" w:afterAutospacing="0" w:line="276" w:lineRule="auto"/>
        <w:jc w:val="both"/>
        <w:rPr>
          <w:rFonts w:ascii="Arial" w:hAnsi="Arial" w:cs="Arial"/>
        </w:rPr>
      </w:pPr>
      <w:hyperlink r:id="rId11" w:history="1">
        <w:r>
          <w:rPr>
            <w:rStyle w:val="Hyperlink"/>
            <w:rFonts w:ascii="Arial" w:hAnsi="Arial" w:cs="Arial"/>
          </w:rPr>
          <w:t>https://www.gmc-uk.org/ethical-guidance/learning-materials/prescription-direction</w:t>
        </w:r>
      </w:hyperlink>
    </w:p>
    <w:p w:rsidR="00011783" w:rsidRDefault="00011783" w:rsidP="00011783">
      <w:pPr>
        <w:spacing w:line="276" w:lineRule="auto"/>
        <w:rPr>
          <w:rFonts w:ascii="Arial" w:hAnsi="Arial" w:cs="Arial"/>
          <w:sz w:val="24"/>
          <w:szCs w:val="24"/>
        </w:rPr>
      </w:pPr>
    </w:p>
    <w:p w:rsidR="00011783" w:rsidRDefault="00011783" w:rsidP="00011783">
      <w:pPr>
        <w:spacing w:line="276" w:lineRule="auto"/>
        <w:rPr>
          <w:rFonts w:ascii="Arial" w:hAnsi="Arial" w:cs="Arial"/>
          <w:sz w:val="24"/>
          <w:szCs w:val="24"/>
        </w:rPr>
      </w:pPr>
      <w:r>
        <w:rPr>
          <w:rFonts w:ascii="Arial" w:hAnsi="Arial" w:cs="Arial"/>
          <w:sz w:val="24"/>
          <w:szCs w:val="24"/>
        </w:rPr>
        <w:t xml:space="preserve">All our GP Practices are encouraged to enable and utilise EPS, in line with the </w:t>
      </w:r>
      <w:hyperlink r:id="rId12" w:history="1">
        <w:r>
          <w:rPr>
            <w:rStyle w:val="Hyperlink"/>
            <w:rFonts w:ascii="Arial" w:hAnsi="Arial" w:cs="Arial"/>
            <w:sz w:val="24"/>
            <w:szCs w:val="24"/>
          </w:rPr>
          <w:t>letter sent from NHSE to primary care on 19</w:t>
        </w:r>
        <w:r>
          <w:rPr>
            <w:rStyle w:val="Hyperlink"/>
            <w:rFonts w:ascii="Arial" w:hAnsi="Arial" w:cs="Arial"/>
            <w:sz w:val="24"/>
            <w:szCs w:val="24"/>
            <w:vertAlign w:val="superscript"/>
          </w:rPr>
          <w:t>th</w:t>
        </w:r>
        <w:r>
          <w:rPr>
            <w:rStyle w:val="Hyperlink"/>
            <w:rFonts w:ascii="Arial" w:hAnsi="Arial" w:cs="Arial"/>
            <w:sz w:val="24"/>
            <w:szCs w:val="24"/>
          </w:rPr>
          <w:t xml:space="preserve"> March 2020</w:t>
        </w:r>
      </w:hyperlink>
      <w:r>
        <w:rPr>
          <w:rFonts w:ascii="Arial" w:hAnsi="Arial" w:cs="Arial"/>
          <w:sz w:val="24"/>
          <w:szCs w:val="24"/>
        </w:rPr>
        <w:t xml:space="preserve">. </w:t>
      </w:r>
    </w:p>
    <w:p w:rsidR="00011783" w:rsidRDefault="00011783" w:rsidP="00011783">
      <w:pPr>
        <w:spacing w:line="276" w:lineRule="auto"/>
        <w:rPr>
          <w:rFonts w:ascii="Arial" w:hAnsi="Arial" w:cs="Arial"/>
          <w:sz w:val="24"/>
          <w:szCs w:val="24"/>
        </w:rPr>
      </w:pPr>
    </w:p>
    <w:p w:rsidR="00011783" w:rsidRDefault="00011783" w:rsidP="00011783">
      <w:pPr>
        <w:spacing w:line="276" w:lineRule="auto"/>
        <w:rPr>
          <w:rFonts w:ascii="Arial" w:hAnsi="Arial" w:cs="Arial"/>
          <w:sz w:val="24"/>
          <w:szCs w:val="24"/>
        </w:rPr>
      </w:pPr>
      <w:r>
        <w:rPr>
          <w:rFonts w:ascii="Arial" w:hAnsi="Arial" w:cs="Arial"/>
          <w:sz w:val="24"/>
          <w:szCs w:val="24"/>
        </w:rPr>
        <w:t xml:space="preserve">The guidance regarding direction of prescriptions has not changed/been relaxed during the Covid-19 pandemic, patients must be offered choice and the patient must nominate the preferred pharmacy, not be led to a specific pharmacy by a GP Practice. </w:t>
      </w:r>
    </w:p>
    <w:p w:rsidR="00011783" w:rsidRDefault="00011783" w:rsidP="00011783">
      <w:pPr>
        <w:spacing w:line="276" w:lineRule="auto"/>
        <w:rPr>
          <w:rFonts w:ascii="Arial" w:hAnsi="Arial" w:cs="Arial"/>
          <w:sz w:val="24"/>
          <w:szCs w:val="24"/>
        </w:rPr>
      </w:pPr>
    </w:p>
    <w:p w:rsidR="00011783" w:rsidRDefault="00011783" w:rsidP="00011783">
      <w:pPr>
        <w:spacing w:line="276" w:lineRule="auto"/>
        <w:rPr>
          <w:rFonts w:ascii="Arial" w:hAnsi="Arial" w:cs="Arial"/>
          <w:sz w:val="24"/>
          <w:szCs w:val="24"/>
        </w:rPr>
      </w:pPr>
      <w:r>
        <w:rPr>
          <w:rFonts w:ascii="Arial" w:hAnsi="Arial" w:cs="Arial"/>
          <w:sz w:val="24"/>
          <w:szCs w:val="24"/>
        </w:rPr>
        <w:t xml:space="preserve">Please note - The </w:t>
      </w:r>
      <w:hyperlink r:id="rId13" w:history="1">
        <w:r>
          <w:rPr>
            <w:rStyle w:val="Hyperlink"/>
            <w:rFonts w:ascii="Arial" w:hAnsi="Arial" w:cs="Arial"/>
            <w:sz w:val="24"/>
            <w:szCs w:val="24"/>
          </w:rPr>
          <w:t>guidance on electronic repeat dispensing (</w:t>
        </w:r>
        <w:proofErr w:type="spellStart"/>
        <w:r>
          <w:rPr>
            <w:rStyle w:val="Hyperlink"/>
            <w:rFonts w:ascii="Arial" w:hAnsi="Arial" w:cs="Arial"/>
            <w:sz w:val="24"/>
            <w:szCs w:val="24"/>
          </w:rPr>
          <w:t>eRD</w:t>
        </w:r>
        <w:proofErr w:type="spellEnd"/>
        <w:r>
          <w:rPr>
            <w:rStyle w:val="Hyperlink"/>
            <w:rFonts w:ascii="Arial" w:hAnsi="Arial" w:cs="Arial"/>
            <w:sz w:val="24"/>
            <w:szCs w:val="24"/>
          </w:rPr>
          <w:t xml:space="preserve">) has recently changed – 04.06.2020 </w:t>
        </w:r>
      </w:hyperlink>
      <w:r>
        <w:rPr>
          <w:rFonts w:ascii="Arial" w:hAnsi="Arial" w:cs="Arial"/>
          <w:sz w:val="24"/>
          <w:szCs w:val="24"/>
        </w:rPr>
        <w:t xml:space="preserve"> and the latest guidance regarding </w:t>
      </w:r>
      <w:proofErr w:type="spellStart"/>
      <w:r>
        <w:rPr>
          <w:rFonts w:ascii="Arial" w:hAnsi="Arial" w:cs="Arial"/>
          <w:sz w:val="24"/>
          <w:szCs w:val="24"/>
        </w:rPr>
        <w:t>eRD</w:t>
      </w:r>
      <w:proofErr w:type="spellEnd"/>
      <w:r>
        <w:rPr>
          <w:rFonts w:ascii="Arial" w:hAnsi="Arial" w:cs="Arial"/>
          <w:sz w:val="24"/>
          <w:szCs w:val="24"/>
        </w:rPr>
        <w:t xml:space="preserve"> temporarily relaxes the need for patient consent for </w:t>
      </w:r>
      <w:proofErr w:type="spellStart"/>
      <w:r>
        <w:rPr>
          <w:rFonts w:ascii="Arial" w:hAnsi="Arial" w:cs="Arial"/>
          <w:sz w:val="24"/>
          <w:szCs w:val="24"/>
        </w:rPr>
        <w:t>eRD</w:t>
      </w:r>
      <w:proofErr w:type="spellEnd"/>
      <w:r>
        <w:rPr>
          <w:rFonts w:ascii="Arial" w:hAnsi="Arial" w:cs="Arial"/>
          <w:sz w:val="24"/>
          <w:szCs w:val="24"/>
        </w:rPr>
        <w:t>. This does not affect the rules regarding nominating a pharmacy, the patient must still nominate their preferred pharmacy, as detailed above.</w:t>
      </w:r>
    </w:p>
    <w:p w:rsidR="00011783" w:rsidRDefault="00011783" w:rsidP="00011783">
      <w:pPr>
        <w:spacing w:line="276" w:lineRule="auto"/>
        <w:rPr>
          <w:rFonts w:ascii="Arial" w:hAnsi="Arial" w:cs="Arial"/>
          <w:sz w:val="24"/>
          <w:szCs w:val="24"/>
        </w:rPr>
      </w:pPr>
    </w:p>
    <w:p w:rsidR="003A3A35" w:rsidRDefault="00011783" w:rsidP="00011783">
      <w:pPr>
        <w:spacing w:line="276" w:lineRule="auto"/>
      </w:pPr>
      <w:r>
        <w:rPr>
          <w:rFonts w:ascii="Arial" w:hAnsi="Arial" w:cs="Arial"/>
          <w:sz w:val="24"/>
          <w:szCs w:val="24"/>
        </w:rPr>
        <w:lastRenderedPageBreak/>
        <w:t xml:space="preserve">If you are unsure about anything related to the content of this email please seek advice and guidance from the CCG Medicines Management Team - </w:t>
      </w:r>
      <w:hyperlink r:id="rId14" w:history="1">
        <w:r>
          <w:rPr>
            <w:rStyle w:val="Hyperlink"/>
            <w:rFonts w:ascii="Arial" w:hAnsi="Arial" w:cs="Arial"/>
            <w:sz w:val="24"/>
            <w:szCs w:val="24"/>
          </w:rPr>
          <w:t>VOYCCG.Rxline@nhs.net</w:t>
        </w:r>
      </w:hyperlink>
    </w:p>
    <w:sectPr w:rsidR="003A3A35" w:rsidSect="00011783">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76E19"/>
    <w:multiLevelType w:val="multilevel"/>
    <w:tmpl w:val="20B65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A4C38A6"/>
    <w:multiLevelType w:val="multilevel"/>
    <w:tmpl w:val="DBCE3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83"/>
    <w:rsid w:val="00011783"/>
    <w:rsid w:val="003A3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themeColor="text1"/>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83"/>
    <w:pPr>
      <w:spacing w:after="0" w:line="240" w:lineRule="auto"/>
    </w:pPr>
    <w:rPr>
      <w:rFonts w:ascii="Calibri" w:hAnsi="Calibri" w:cs="Times New Roman"/>
      <w:color w:val="auto"/>
      <w:sz w:val="22"/>
      <w:szCs w:val="22"/>
    </w:rPr>
  </w:style>
  <w:style w:type="paragraph" w:styleId="Heading2">
    <w:name w:val="heading 2"/>
    <w:basedOn w:val="Normal"/>
    <w:link w:val="Heading2Char"/>
    <w:uiPriority w:val="9"/>
    <w:semiHidden/>
    <w:unhideWhenUsed/>
    <w:qFormat/>
    <w:rsid w:val="00011783"/>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11783"/>
    <w:rPr>
      <w:rFonts w:ascii="Calibri" w:hAnsi="Calibri" w:cs="Times New Roman"/>
      <w:b/>
      <w:bCs/>
      <w:color w:val="auto"/>
      <w:sz w:val="36"/>
      <w:szCs w:val="36"/>
      <w:lang w:eastAsia="en-GB"/>
    </w:rPr>
  </w:style>
  <w:style w:type="character" w:styleId="Hyperlink">
    <w:name w:val="Hyperlink"/>
    <w:basedOn w:val="DefaultParagraphFont"/>
    <w:uiPriority w:val="99"/>
    <w:semiHidden/>
    <w:unhideWhenUsed/>
    <w:rsid w:val="00011783"/>
    <w:rPr>
      <w:color w:val="0563C1"/>
      <w:u w:val="single"/>
    </w:rPr>
  </w:style>
  <w:style w:type="paragraph" w:styleId="NormalWeb">
    <w:name w:val="Normal (Web)"/>
    <w:basedOn w:val="Normal"/>
    <w:uiPriority w:val="99"/>
    <w:semiHidden/>
    <w:unhideWhenUsed/>
    <w:rsid w:val="0001178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011783"/>
    <w:rPr>
      <w:rFonts w:ascii="Tahoma" w:hAnsi="Tahoma" w:cs="Tahoma"/>
      <w:sz w:val="16"/>
      <w:szCs w:val="16"/>
    </w:rPr>
  </w:style>
  <w:style w:type="character" w:customStyle="1" w:styleId="BalloonTextChar">
    <w:name w:val="Balloon Text Char"/>
    <w:basedOn w:val="DefaultParagraphFont"/>
    <w:link w:val="BalloonText"/>
    <w:uiPriority w:val="99"/>
    <w:semiHidden/>
    <w:rsid w:val="00011783"/>
    <w:rPr>
      <w:rFonts w:ascii="Tahoma"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themeColor="text1"/>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83"/>
    <w:pPr>
      <w:spacing w:after="0" w:line="240" w:lineRule="auto"/>
    </w:pPr>
    <w:rPr>
      <w:rFonts w:ascii="Calibri" w:hAnsi="Calibri" w:cs="Times New Roman"/>
      <w:color w:val="auto"/>
      <w:sz w:val="22"/>
      <w:szCs w:val="22"/>
    </w:rPr>
  </w:style>
  <w:style w:type="paragraph" w:styleId="Heading2">
    <w:name w:val="heading 2"/>
    <w:basedOn w:val="Normal"/>
    <w:link w:val="Heading2Char"/>
    <w:uiPriority w:val="9"/>
    <w:semiHidden/>
    <w:unhideWhenUsed/>
    <w:qFormat/>
    <w:rsid w:val="00011783"/>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11783"/>
    <w:rPr>
      <w:rFonts w:ascii="Calibri" w:hAnsi="Calibri" w:cs="Times New Roman"/>
      <w:b/>
      <w:bCs/>
      <w:color w:val="auto"/>
      <w:sz w:val="36"/>
      <w:szCs w:val="36"/>
      <w:lang w:eastAsia="en-GB"/>
    </w:rPr>
  </w:style>
  <w:style w:type="character" w:styleId="Hyperlink">
    <w:name w:val="Hyperlink"/>
    <w:basedOn w:val="DefaultParagraphFont"/>
    <w:uiPriority w:val="99"/>
    <w:semiHidden/>
    <w:unhideWhenUsed/>
    <w:rsid w:val="00011783"/>
    <w:rPr>
      <w:color w:val="0563C1"/>
      <w:u w:val="single"/>
    </w:rPr>
  </w:style>
  <w:style w:type="paragraph" w:styleId="NormalWeb">
    <w:name w:val="Normal (Web)"/>
    <w:basedOn w:val="Normal"/>
    <w:uiPriority w:val="99"/>
    <w:semiHidden/>
    <w:unhideWhenUsed/>
    <w:rsid w:val="0001178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011783"/>
    <w:rPr>
      <w:rFonts w:ascii="Tahoma" w:hAnsi="Tahoma" w:cs="Tahoma"/>
      <w:sz w:val="16"/>
      <w:szCs w:val="16"/>
    </w:rPr>
  </w:style>
  <w:style w:type="character" w:customStyle="1" w:styleId="BalloonTextChar">
    <w:name w:val="Balloon Text Char"/>
    <w:basedOn w:val="DefaultParagraphFont"/>
    <w:link w:val="BalloonText"/>
    <w:uiPriority w:val="99"/>
    <w:semiHidden/>
    <w:rsid w:val="00011783"/>
    <w:rPr>
      <w:rFonts w:ascii="Tahom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org.uk/dispensing-supply/eps/patient-nomination-of-a-dispensing-site/" TargetMode="External"/><Relationship Id="rId13" Type="http://schemas.openxmlformats.org/officeDocument/2006/relationships/hyperlink" Target="https://www.england.nhs.uk/coronavirus/wp-content/uploads/sites/52/2020/03/C0546-electronic-repeat-dispensing-letter-4-june-2020.pdf" TargetMode="External"/><Relationship Id="rId3" Type="http://schemas.microsoft.com/office/2007/relationships/stylesWithEffects" Target="stylesWithEffects.xml"/><Relationship Id="rId7" Type="http://schemas.openxmlformats.org/officeDocument/2006/relationships/hyperlink" Target="https://psnc.org.uk/dispensing-supply/eps/" TargetMode="External"/><Relationship Id="rId12" Type="http://schemas.openxmlformats.org/officeDocument/2006/relationships/hyperlink" Target="https://www.england.nhs.uk/coronavirus/wp-content/uploads/sites/52/2020/03/preparedness-letter-primary-care-19-march-2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gmc-uk.org/ethical-guidance/learning-materials/prescription-direc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ma.org.uk/advice-and-support/gp-practices/prescribing/prescription-direction-to-certain-pharmacies" TargetMode="External"/><Relationship Id="rId4" Type="http://schemas.openxmlformats.org/officeDocument/2006/relationships/settings" Target="settings.xml"/><Relationship Id="rId9" Type="http://schemas.openxmlformats.org/officeDocument/2006/relationships/hyperlink" Target="https://www.gmc-uk.org/guidance/ethical_guidance/21161.asp" TargetMode="External"/><Relationship Id="rId14" Type="http://schemas.openxmlformats.org/officeDocument/2006/relationships/hyperlink" Target="mailto:VOYCCG.Rxlin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2020-06-11T12:00:00Z</dcterms:created>
  <dcterms:modified xsi:type="dcterms:W3CDTF">2020-06-11T12:02:00Z</dcterms:modified>
</cp:coreProperties>
</file>