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D1" w:rsidRDefault="004110D1" w:rsidP="004110D1">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4110D1" w:rsidRDefault="004110D1" w:rsidP="004110D1">
      <w:pPr>
        <w:pStyle w:val="wordsection1"/>
        <w:spacing w:line="276" w:lineRule="auto"/>
        <w:jc w:val="right"/>
        <w:rPr>
          <w:rFonts w:ascii="Arial" w:hAnsi="Arial" w:cs="Arial"/>
          <w:b/>
          <w:bCs/>
          <w:color w:val="FF0000"/>
          <w:lang w:eastAsia="en-US"/>
        </w:rPr>
      </w:pPr>
      <w:r>
        <w:rPr>
          <w:rFonts w:ascii="Arial" w:hAnsi="Arial" w:cs="Arial"/>
          <w:b/>
          <w:bCs/>
          <w:color w:val="FF0000"/>
        </w:rPr>
        <w:t>24 March 2020</w:t>
      </w:r>
    </w:p>
    <w:p w:rsidR="004110D1" w:rsidRDefault="004110D1" w:rsidP="004110D1">
      <w:pPr>
        <w:pStyle w:val="wordsection1"/>
        <w:spacing w:line="276" w:lineRule="auto"/>
        <w:jc w:val="right"/>
        <w:rPr>
          <w:rFonts w:ascii="Arial" w:hAnsi="Arial" w:cs="Arial"/>
          <w:b/>
          <w:bCs/>
          <w:color w:val="FF0000"/>
          <w:lang w:eastAsia="en-US"/>
        </w:rPr>
      </w:pPr>
    </w:p>
    <w:p w:rsidR="004110D1" w:rsidRDefault="004110D1" w:rsidP="004110D1">
      <w:pPr>
        <w:pStyle w:val="wordsection1"/>
        <w:rPr>
          <w:rFonts w:ascii="Arial" w:hAnsi="Arial" w:cs="Arial"/>
          <w:b/>
          <w:bCs/>
          <w:color w:val="FF0000"/>
          <w:sz w:val="28"/>
          <w:szCs w:val="28"/>
          <w:lang w:eastAsia="en-US"/>
        </w:rPr>
      </w:pPr>
      <w:r>
        <w:rPr>
          <w:rFonts w:ascii="Arial" w:hAnsi="Arial" w:cs="Arial"/>
          <w:b/>
          <w:bCs/>
          <w:color w:val="FF0000"/>
          <w:sz w:val="28"/>
          <w:szCs w:val="28"/>
        </w:rPr>
        <w:t>In this edition</w:t>
      </w:r>
    </w:p>
    <w:p w:rsidR="004110D1" w:rsidRDefault="004110D1" w:rsidP="004110D1">
      <w:pPr>
        <w:pStyle w:val="wordsection1"/>
        <w:rPr>
          <w:rFonts w:ascii="Arial" w:hAnsi="Arial" w:cs="Arial"/>
          <w:color w:val="FF0000"/>
          <w:sz w:val="12"/>
          <w:szCs w:val="12"/>
          <w:lang w:eastAsia="en-US"/>
        </w:rPr>
      </w:pPr>
    </w:p>
    <w:p w:rsidR="004110D1" w:rsidRDefault="004110D1" w:rsidP="004110D1">
      <w:pPr>
        <w:pStyle w:val="wordsection1"/>
        <w:rPr>
          <w:rFonts w:ascii="Arial" w:hAnsi="Arial" w:cs="Arial"/>
          <w:color w:val="FF0000"/>
          <w:sz w:val="28"/>
          <w:szCs w:val="28"/>
        </w:rPr>
      </w:pPr>
      <w:r>
        <w:rPr>
          <w:rFonts w:ascii="Arial" w:hAnsi="Arial" w:cs="Arial"/>
          <w:color w:val="FF0000"/>
          <w:sz w:val="28"/>
          <w:szCs w:val="28"/>
        </w:rPr>
        <w:t>Elective Care - Outpatient Referrals during Covid-19 Pandemic – information for GPs as of 24 March 2020</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b/>
          <w:bCs/>
          <w:color w:val="000000"/>
        </w:rPr>
      </w:pPr>
      <w:r>
        <w:rPr>
          <w:rFonts w:ascii="Arial" w:hAnsi="Arial" w:cs="Arial"/>
          <w:b/>
          <w:bCs/>
          <w:color w:val="000000"/>
        </w:rPr>
        <w:t>Attachments</w:t>
      </w:r>
    </w:p>
    <w:p w:rsidR="004110D1" w:rsidRDefault="004110D1" w:rsidP="004110D1">
      <w:pPr>
        <w:pStyle w:val="wordsection1"/>
        <w:rPr>
          <w:rFonts w:ascii="Arial" w:hAnsi="Arial" w:cs="Arial"/>
          <w:b/>
          <w:bCs/>
          <w:color w:val="000000"/>
          <w:sz w:val="12"/>
          <w:szCs w:val="12"/>
        </w:rPr>
      </w:pPr>
    </w:p>
    <w:p w:rsidR="004110D1" w:rsidRDefault="004110D1" w:rsidP="004110D1">
      <w:pPr>
        <w:pStyle w:val="wordsection1"/>
        <w:numPr>
          <w:ilvl w:val="0"/>
          <w:numId w:val="1"/>
        </w:numPr>
        <w:spacing w:line="276" w:lineRule="auto"/>
        <w:rPr>
          <w:rFonts w:ascii="Arial" w:hAnsi="Arial" w:cs="Arial"/>
          <w:color w:val="000000"/>
        </w:rPr>
      </w:pPr>
      <w:r>
        <w:rPr>
          <w:rFonts w:ascii="Arial" w:hAnsi="Arial" w:cs="Arial"/>
          <w:color w:val="000000"/>
        </w:rPr>
        <w:t>None. This information will be available on the COVID-19 section of RSS.</w:t>
      </w:r>
    </w:p>
    <w:p w:rsidR="004110D1" w:rsidRDefault="004110D1" w:rsidP="004110D1">
      <w:pPr>
        <w:pStyle w:val="wordsection1"/>
        <w:rPr>
          <w:rFonts w:ascii="Arial" w:hAnsi="Arial" w:cs="Arial"/>
          <w:color w:val="000000"/>
          <w:sz w:val="12"/>
          <w:szCs w:val="12"/>
        </w:rPr>
      </w:pPr>
    </w:p>
    <w:p w:rsidR="004110D1" w:rsidRDefault="004110D1" w:rsidP="004110D1">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Elective Care - Outpatient Referrals during Covid-19 Pandemic – information for GPs as of 24 March 2020</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These are unprecedented times and it is not possible for NHS work to continue as usual. The principal aim of this information is to reduce spread and maximise the NHS’s ability to manage the pandemic. This information is based on risk assessment and the UK Government new movement restrictions. It is correct at the time of publication (24/3/20) and is subject to change. Where this guidance says GP it also refers to other primary care clinicians in practices.</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Urgent, 2WW and Rapid Access Chest Pain</w:t>
      </w:r>
    </w:p>
    <w:p w:rsidR="004110D1" w:rsidRDefault="004110D1" w:rsidP="004110D1">
      <w:pPr>
        <w:pStyle w:val="wordsection1"/>
        <w:spacing w:line="276" w:lineRule="auto"/>
        <w:rPr>
          <w:rFonts w:ascii="Arial" w:hAnsi="Arial" w:cs="Arial"/>
          <w:lang w:eastAsia="en-US"/>
        </w:rPr>
      </w:pPr>
      <w:r>
        <w:rPr>
          <w:rFonts w:ascii="Arial" w:hAnsi="Arial" w:cs="Arial"/>
        </w:rPr>
        <w:t>At present urgent, emergency cases, rapid access chest pain and cancer appointments will be carrying on as normal though this is likely to change as national guidance is published. Specialists may, after risk assessing, decide whether to downgrade referrals.</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lang w:eastAsia="en-US"/>
        </w:rPr>
      </w:pPr>
      <w:r>
        <w:rPr>
          <w:rFonts w:ascii="Arial" w:hAnsi="Arial" w:cs="Arial"/>
          <w:b/>
          <w:bCs/>
        </w:rPr>
        <w:t>Paediatrics</w:t>
      </w:r>
    </w:p>
    <w:p w:rsidR="004110D1" w:rsidRDefault="004110D1" w:rsidP="004110D1">
      <w:pPr>
        <w:pStyle w:val="wordsection1"/>
        <w:spacing w:line="276" w:lineRule="auto"/>
        <w:rPr>
          <w:rFonts w:ascii="Arial" w:hAnsi="Arial" w:cs="Arial"/>
          <w:lang w:eastAsia="en-US"/>
        </w:rPr>
      </w:pPr>
      <w:r>
        <w:rPr>
          <w:rFonts w:ascii="Arial" w:hAnsi="Arial" w:cs="Arial"/>
        </w:rPr>
        <w:t>Children already booked into clinics will either be offered a telephone, video or face to face consultation. Referrals will be assessed by a member of the consultant team who will advise on the level of clinical urgency and best mechanism for review as outlined above.</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Adult Routine Outpatients – booked appointments and new referrals</w:t>
      </w:r>
    </w:p>
    <w:p w:rsidR="004110D1" w:rsidRDefault="004110D1" w:rsidP="004110D1">
      <w:pPr>
        <w:pStyle w:val="wordsection1"/>
        <w:spacing w:line="276" w:lineRule="auto"/>
        <w:rPr>
          <w:rFonts w:ascii="Arial" w:hAnsi="Arial" w:cs="Arial"/>
          <w:lang w:eastAsia="en-US"/>
        </w:rPr>
      </w:pPr>
      <w:r>
        <w:rPr>
          <w:rFonts w:ascii="Arial" w:hAnsi="Arial" w:cs="Arial"/>
        </w:rPr>
        <w:t xml:space="preserve">Along with other trusts in the Humber Coast and Vale partnerships YHFT has suspended all non-urgent routine outpatient appointments for at least three months.  </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New routine referrals</w:t>
      </w:r>
    </w:p>
    <w:p w:rsidR="004110D1" w:rsidRDefault="004110D1" w:rsidP="004110D1">
      <w:pPr>
        <w:pStyle w:val="wordsection1"/>
        <w:spacing w:line="276" w:lineRule="auto"/>
        <w:rPr>
          <w:rFonts w:ascii="Arial" w:hAnsi="Arial" w:cs="Arial"/>
          <w:u w:val="single"/>
          <w:lang w:eastAsia="en-US"/>
        </w:rPr>
      </w:pPr>
      <w:r>
        <w:rPr>
          <w:rFonts w:ascii="Arial" w:hAnsi="Arial" w:cs="Arial"/>
          <w:u w:val="single"/>
        </w:rPr>
        <w:t xml:space="preserve">GPs are asked </w:t>
      </w:r>
      <w:r>
        <w:rPr>
          <w:rFonts w:ascii="Arial" w:hAnsi="Arial" w:cs="Arial"/>
          <w:b/>
          <w:bCs/>
          <w:u w:val="single"/>
        </w:rPr>
        <w:t>not</w:t>
      </w:r>
      <w:r>
        <w:rPr>
          <w:rFonts w:ascii="Arial" w:hAnsi="Arial" w:cs="Arial"/>
          <w:u w:val="single"/>
        </w:rPr>
        <w:t xml:space="preserve"> to send in routine referrals. </w:t>
      </w:r>
    </w:p>
    <w:p w:rsidR="004110D1" w:rsidRDefault="004110D1" w:rsidP="004110D1">
      <w:pPr>
        <w:pStyle w:val="wordsection1"/>
        <w:spacing w:line="276" w:lineRule="auto"/>
        <w:rPr>
          <w:rFonts w:ascii="Arial" w:hAnsi="Arial" w:cs="Arial"/>
          <w:u w:val="single"/>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lastRenderedPageBreak/>
        <w:t xml:space="preserve">GPs should ask patients to contact them again when the pandemic is over, ie in 4-6 months to discuss a referral being made at that point. GPs should consider how to support patients who may not have the capacity to re-present / contact them in time. </w:t>
      </w:r>
    </w:p>
    <w:p w:rsidR="004110D1" w:rsidRDefault="004110D1" w:rsidP="004110D1">
      <w:pPr>
        <w:pStyle w:val="wordsection1"/>
        <w:spacing w:line="276" w:lineRule="auto"/>
        <w:rPr>
          <w:rFonts w:ascii="Arial" w:hAnsi="Arial" w:cs="Arial"/>
          <w:sz w:val="12"/>
          <w:szCs w:val="12"/>
          <w:u w:val="single"/>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A small number or referrals are held at present in the RSS team from today and yesterday. These will be returned to practices and a small number of referrals are held in the gastroenterology Clinical Assessment list and these will be returned to practices unless deemed urgent to see.</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Consultant triagers who undertake RSS clinical triage may return some routine referrals.</w:t>
      </w:r>
    </w:p>
    <w:p w:rsidR="004110D1" w:rsidRDefault="004110D1" w:rsidP="004110D1">
      <w:pPr>
        <w:pStyle w:val="wordsection1"/>
        <w:spacing w:line="276" w:lineRule="auto"/>
        <w:rPr>
          <w:rFonts w:ascii="Arial" w:hAnsi="Arial" w:cs="Arial"/>
          <w:lang w:eastAsia="en-US"/>
        </w:rPr>
      </w:pPr>
      <w:r>
        <w:rPr>
          <w:rFonts w:ascii="Arial" w:hAnsi="Arial" w:cs="Arial"/>
        </w:rPr>
        <w:t>Where consultants respond to Advice and Guidance that GPs should refer in GPs should only do so where the referral is urgent or 2WW ones.  Routine referrals should be delayed until after the Covid-19 pandemic is over.</w:t>
      </w:r>
    </w:p>
    <w:p w:rsidR="004110D1" w:rsidRDefault="004110D1" w:rsidP="004110D1">
      <w:pPr>
        <w:pStyle w:val="wordsection1"/>
        <w:spacing w:line="276" w:lineRule="auto"/>
        <w:rPr>
          <w:rFonts w:ascii="Arial" w:hAnsi="Arial" w:cs="Arial"/>
          <w:sz w:val="12"/>
          <w:szCs w:val="12"/>
          <w:u w:val="single"/>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GPs and practice teams caring for NHS patients have the additional reassurance of being indemnified under the terms of the Clinical Negligence Scheme for General Practice.</w:t>
      </w:r>
    </w:p>
    <w:p w:rsidR="004110D1" w:rsidRDefault="004110D1" w:rsidP="004110D1">
      <w:pPr>
        <w:pStyle w:val="wordsection1"/>
        <w:spacing w:line="276" w:lineRule="auto"/>
        <w:rPr>
          <w:rFonts w:ascii="Arial" w:hAnsi="Arial" w:cs="Arial"/>
          <w:u w:val="single"/>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Patients with booked new or follow up appointments</w:t>
      </w:r>
    </w:p>
    <w:p w:rsidR="004110D1" w:rsidRDefault="004110D1" w:rsidP="004110D1">
      <w:pPr>
        <w:pStyle w:val="wordsection1"/>
        <w:spacing w:line="276" w:lineRule="auto"/>
        <w:rPr>
          <w:rFonts w:ascii="Arial" w:hAnsi="Arial" w:cs="Arial"/>
          <w:lang w:eastAsia="en-US"/>
        </w:rPr>
      </w:pPr>
      <w:r>
        <w:rPr>
          <w:rFonts w:ascii="Arial" w:hAnsi="Arial" w:cs="Arial"/>
        </w:rPr>
        <w:t xml:space="preserve">Patients already booked (or who are due to be seen in the next three months) will be contacted by the Trust to cancel their appointment. Patients who do not receive a letter or phone call from the hospital, should turn up for their scheduled appointment as normal unless they have symptoms of coronavirus, a cold, flu or norovirus in which case they should contact the hospital to cancel their appointment. </w:t>
      </w:r>
      <w:hyperlink r:id="rId6" w:history="1">
        <w:r>
          <w:rPr>
            <w:rStyle w:val="Hyperlink"/>
            <w:rFonts w:ascii="Arial" w:hAnsi="Arial" w:cs="Arial"/>
          </w:rPr>
          <w:t>clicking here</w:t>
        </w:r>
      </w:hyperlink>
      <w:r>
        <w:rPr>
          <w:rFonts w:ascii="Arial" w:hAnsi="Arial" w:cs="Arial"/>
        </w:rPr>
        <w:t xml:space="preserve"> takes colleagues to a link they can text to patients to cancel appointments.</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Specialist clinical teams will, where they can, review the need for patients to be seen and will decide what should happen. Here are the options for those clinical teams</w:t>
      </w:r>
    </w:p>
    <w:p w:rsidR="004110D1" w:rsidRDefault="004110D1" w:rsidP="004110D1">
      <w:pPr>
        <w:pStyle w:val="wordsection1"/>
        <w:numPr>
          <w:ilvl w:val="0"/>
          <w:numId w:val="2"/>
        </w:numPr>
        <w:spacing w:before="100" w:beforeAutospacing="1" w:after="100" w:afterAutospacing="1" w:line="276" w:lineRule="auto"/>
        <w:ind w:left="709" w:hanging="425"/>
        <w:rPr>
          <w:rFonts w:ascii="Arial" w:hAnsi="Arial" w:cs="Arial"/>
          <w:lang w:eastAsia="en-US"/>
        </w:rPr>
      </w:pPr>
      <w:r>
        <w:rPr>
          <w:rFonts w:ascii="Arial" w:hAnsi="Arial" w:cs="Arial"/>
        </w:rPr>
        <w:t>Discharge with letter to patient and GP – further follow up not thought necessary</w:t>
      </w:r>
    </w:p>
    <w:p w:rsidR="004110D1" w:rsidRDefault="004110D1" w:rsidP="004110D1">
      <w:pPr>
        <w:pStyle w:val="wordsection1"/>
        <w:numPr>
          <w:ilvl w:val="0"/>
          <w:numId w:val="2"/>
        </w:numPr>
        <w:spacing w:before="100" w:beforeAutospacing="1" w:after="100" w:afterAutospacing="1" w:line="276" w:lineRule="auto"/>
        <w:ind w:left="709" w:hanging="425"/>
        <w:rPr>
          <w:rFonts w:ascii="Arial" w:hAnsi="Arial" w:cs="Arial"/>
          <w:lang w:eastAsia="en-US"/>
        </w:rPr>
      </w:pPr>
      <w:r>
        <w:rPr>
          <w:rFonts w:ascii="Arial" w:hAnsi="Arial" w:cs="Arial"/>
        </w:rPr>
        <w:t>Appointment to be deferred to a face to face, telephone or video consultation in the future</w:t>
      </w:r>
    </w:p>
    <w:p w:rsidR="004110D1" w:rsidRDefault="004110D1" w:rsidP="004110D1">
      <w:pPr>
        <w:pStyle w:val="wordsection1"/>
        <w:numPr>
          <w:ilvl w:val="0"/>
          <w:numId w:val="2"/>
        </w:numPr>
        <w:spacing w:before="100" w:beforeAutospacing="1" w:after="100" w:afterAutospacing="1" w:line="276" w:lineRule="auto"/>
        <w:ind w:left="709" w:hanging="425"/>
        <w:rPr>
          <w:rFonts w:ascii="Arial" w:hAnsi="Arial" w:cs="Arial"/>
          <w:lang w:eastAsia="en-US"/>
        </w:rPr>
      </w:pPr>
      <w:r>
        <w:rPr>
          <w:rFonts w:ascii="Arial" w:hAnsi="Arial" w:cs="Arial"/>
        </w:rPr>
        <w:t>PIFU (Patient initiated follow up) and discharged if needed after a defined (patient specific) period. Patient are given a number directly to the clinical team</w:t>
      </w:r>
    </w:p>
    <w:p w:rsidR="004110D1" w:rsidRDefault="004110D1" w:rsidP="004110D1">
      <w:pPr>
        <w:pStyle w:val="wordsection1"/>
        <w:numPr>
          <w:ilvl w:val="0"/>
          <w:numId w:val="2"/>
        </w:numPr>
        <w:spacing w:before="100" w:beforeAutospacing="1" w:after="100" w:afterAutospacing="1" w:line="276" w:lineRule="auto"/>
        <w:ind w:left="709" w:hanging="425"/>
        <w:rPr>
          <w:rFonts w:ascii="Arial" w:hAnsi="Arial" w:cs="Arial"/>
          <w:lang w:eastAsia="en-US"/>
        </w:rPr>
      </w:pPr>
      <w:r>
        <w:rPr>
          <w:rFonts w:ascii="Arial" w:hAnsi="Arial" w:cs="Arial"/>
        </w:rPr>
        <w:t>Waiting list for a procedure / diagnostic</w:t>
      </w:r>
    </w:p>
    <w:p w:rsidR="004110D1" w:rsidRDefault="004110D1" w:rsidP="004110D1">
      <w:pPr>
        <w:pStyle w:val="wordsection1"/>
        <w:spacing w:line="276" w:lineRule="auto"/>
        <w:rPr>
          <w:rFonts w:ascii="Arial" w:hAnsi="Arial" w:cs="Arial"/>
          <w:b/>
          <w:bCs/>
          <w:lang w:eastAsia="en-US"/>
        </w:rPr>
      </w:pPr>
      <w:r>
        <w:rPr>
          <w:rFonts w:ascii="Arial" w:hAnsi="Arial" w:cs="Arial"/>
          <w:b/>
          <w:bCs/>
        </w:rPr>
        <w:t xml:space="preserve">MSK service </w:t>
      </w:r>
    </w:p>
    <w:p w:rsidR="004110D1" w:rsidRDefault="004110D1" w:rsidP="004110D1">
      <w:pPr>
        <w:pStyle w:val="wordsection1"/>
        <w:spacing w:line="276" w:lineRule="auto"/>
        <w:rPr>
          <w:rFonts w:ascii="Arial" w:hAnsi="Arial" w:cs="Arial"/>
          <w:lang w:eastAsia="en-US"/>
        </w:rPr>
      </w:pPr>
      <w:r>
        <w:rPr>
          <w:rFonts w:ascii="Arial" w:hAnsi="Arial" w:cs="Arial"/>
        </w:rPr>
        <w:t>MSK staff are needed elsewhere in the hospital so the MSK service will close to new referrals.</w:t>
      </w:r>
    </w:p>
    <w:p w:rsidR="004110D1" w:rsidRDefault="004110D1" w:rsidP="004110D1">
      <w:pPr>
        <w:pStyle w:val="wordsection1"/>
        <w:spacing w:line="276" w:lineRule="auto"/>
        <w:rPr>
          <w:rFonts w:ascii="Arial" w:hAnsi="Arial" w:cs="Arial"/>
          <w:lang w:eastAsia="en-US"/>
        </w:rPr>
      </w:pPr>
      <w:r>
        <w:rPr>
          <w:rFonts w:ascii="Arial" w:hAnsi="Arial" w:cs="Arial"/>
        </w:rPr>
        <w:t xml:space="preserve">The service currently aims to provide minimal service for acute back pain patients and hopes to maintain self-referral for those patients. The ongoing management of patients who are currently in the service will be reviewed and managed as best as </w:t>
      </w:r>
      <w:r>
        <w:rPr>
          <w:rFonts w:ascii="Arial" w:hAnsi="Arial" w:cs="Arial"/>
        </w:rPr>
        <w:lastRenderedPageBreak/>
        <w:t xml:space="preserve">possible over the coming months without face to face appointments. Please direct patients to the wealth of information on </w:t>
      </w:r>
      <w:hyperlink r:id="rId7" w:history="1">
        <w:r>
          <w:rPr>
            <w:rStyle w:val="Hyperlink"/>
            <w:rFonts w:ascii="Arial" w:hAnsi="Arial" w:cs="Arial"/>
          </w:rPr>
          <w:t>www.yourphysio.org.uk</w:t>
        </w:r>
      </w:hyperlink>
      <w:r>
        <w:rPr>
          <w:rFonts w:ascii="Arial" w:hAnsi="Arial" w:cs="Arial"/>
        </w:rPr>
        <w:t xml:space="preserve"> </w:t>
      </w:r>
    </w:p>
    <w:p w:rsidR="004110D1" w:rsidRDefault="004110D1" w:rsidP="004110D1">
      <w:pPr>
        <w:pStyle w:val="wordsection1"/>
        <w:spacing w:line="276" w:lineRule="auto"/>
        <w:rPr>
          <w:rFonts w:ascii="Arial" w:hAnsi="Arial" w:cs="Arial"/>
          <w:b/>
          <w:bCs/>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Endoscopy</w:t>
      </w:r>
    </w:p>
    <w:p w:rsidR="004110D1" w:rsidRDefault="004110D1" w:rsidP="004110D1">
      <w:pPr>
        <w:pStyle w:val="wordsection1"/>
        <w:spacing w:line="276" w:lineRule="auto"/>
        <w:rPr>
          <w:rFonts w:ascii="Arial" w:hAnsi="Arial" w:cs="Arial"/>
          <w:lang w:eastAsia="en-US"/>
        </w:rPr>
      </w:pPr>
      <w:r>
        <w:rPr>
          <w:rFonts w:ascii="Arial" w:hAnsi="Arial" w:cs="Arial"/>
        </w:rPr>
        <w:t>All non-urgent endoscopy and bowel screening is stopping as risks to staff and patients of catching Covid-19 are greater than the pick-up rate of endoscopy. </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Imaging / Radiology</w:t>
      </w:r>
    </w:p>
    <w:p w:rsidR="004110D1" w:rsidRDefault="004110D1" w:rsidP="004110D1">
      <w:pPr>
        <w:pStyle w:val="wordsection1"/>
        <w:spacing w:line="276" w:lineRule="auto"/>
        <w:rPr>
          <w:rFonts w:ascii="Arial" w:hAnsi="Arial" w:cs="Arial"/>
          <w:lang w:eastAsia="en-US"/>
        </w:rPr>
      </w:pPr>
      <w:r>
        <w:rPr>
          <w:rFonts w:ascii="Arial" w:hAnsi="Arial" w:cs="Arial"/>
        </w:rPr>
        <w:t>Please minimise requests for imaging to essential and urgent requests.</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All direct access to plain film (x-ray) is closed. Where imaging is needed patients will be booked into slots to reduce footfall and waiting in hospital. GPs should send in electronic referrals to enable this.</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 xml:space="preserve">Radiology are closing all routine imaging and referrals will be sent back to the referring clinician (in primary and secondary care) to decide if patients need the imaging now or at some time when the crisis is over (expect this to be around 6 months’ time).  </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 xml:space="preserve">If GPs feel that imaging needs to be done urgently (e.g. during the COVID 19 crisis) then the these should be referred as urgent. </w:t>
      </w:r>
    </w:p>
    <w:p w:rsidR="004110D1" w:rsidRDefault="004110D1" w:rsidP="004110D1">
      <w:pPr>
        <w:pStyle w:val="wordsection1"/>
        <w:spacing w:line="276" w:lineRule="auto"/>
        <w:rPr>
          <w:rFonts w:ascii="Arial" w:hAnsi="Arial" w:cs="Arial"/>
          <w:lang w:eastAsia="en-US"/>
        </w:rPr>
      </w:pPr>
      <w:r>
        <w:rPr>
          <w:rFonts w:ascii="Arial" w:hAnsi="Arial" w:cs="Arial"/>
        </w:rPr>
        <w:t> </w:t>
      </w:r>
    </w:p>
    <w:p w:rsidR="004110D1" w:rsidRDefault="004110D1" w:rsidP="004110D1">
      <w:pPr>
        <w:pStyle w:val="wordsection1"/>
        <w:spacing w:line="276" w:lineRule="auto"/>
        <w:rPr>
          <w:rFonts w:ascii="Arial" w:hAnsi="Arial" w:cs="Arial"/>
          <w:lang w:eastAsia="en-US"/>
        </w:rPr>
      </w:pPr>
      <w:r>
        <w:rPr>
          <w:rFonts w:ascii="Arial" w:hAnsi="Arial" w:cs="Arial"/>
          <w:b/>
          <w:bCs/>
        </w:rPr>
        <w:t>Urgent Advice and Guidance</w:t>
      </w:r>
    </w:p>
    <w:p w:rsidR="004110D1" w:rsidRDefault="004110D1" w:rsidP="004110D1">
      <w:pPr>
        <w:pStyle w:val="wordsection1"/>
        <w:spacing w:line="276" w:lineRule="auto"/>
        <w:rPr>
          <w:rFonts w:ascii="Arial" w:hAnsi="Arial" w:cs="Arial"/>
          <w:lang w:eastAsia="en-US"/>
        </w:rPr>
      </w:pPr>
      <w:r>
        <w:rPr>
          <w:rFonts w:ascii="Arial" w:hAnsi="Arial" w:cs="Arial"/>
        </w:rPr>
        <w:t>Advice and Guidance remains open for GPs. Please use judiciously. The 48 hour turnaround may not be achieved. Explain to patients – these are not normal times. Normal standards of care cannot be met. It is likely to be some 6 months before the NHS starts to recover.</w:t>
      </w:r>
    </w:p>
    <w:p w:rsidR="004110D1" w:rsidRDefault="004110D1" w:rsidP="004110D1">
      <w:pPr>
        <w:pStyle w:val="wordsection1"/>
        <w:spacing w:line="276" w:lineRule="auto"/>
        <w:rPr>
          <w:rFonts w:ascii="Arial" w:hAnsi="Arial" w:cs="Arial"/>
          <w:lang w:eastAsia="en-US"/>
        </w:rPr>
      </w:pPr>
      <w:r>
        <w:rPr>
          <w:rFonts w:ascii="Arial" w:hAnsi="Arial" w:cs="Arial"/>
        </w:rPr>
        <w:t> </w:t>
      </w:r>
    </w:p>
    <w:p w:rsidR="004110D1" w:rsidRDefault="004110D1" w:rsidP="004110D1">
      <w:pPr>
        <w:pStyle w:val="wordsection1"/>
        <w:spacing w:line="276" w:lineRule="auto"/>
        <w:rPr>
          <w:rFonts w:ascii="Arial" w:hAnsi="Arial" w:cs="Arial"/>
          <w:b/>
          <w:bCs/>
          <w:lang w:eastAsia="en-US"/>
        </w:rPr>
      </w:pPr>
      <w:r>
        <w:rPr>
          <w:rFonts w:ascii="Arial" w:hAnsi="Arial" w:cs="Arial"/>
          <w:b/>
          <w:bCs/>
        </w:rPr>
        <w:t xml:space="preserve">Phlebotomy </w:t>
      </w:r>
    </w:p>
    <w:p w:rsidR="004110D1" w:rsidRDefault="004110D1" w:rsidP="004110D1">
      <w:pPr>
        <w:pStyle w:val="wordsection1"/>
        <w:spacing w:line="276" w:lineRule="auto"/>
        <w:rPr>
          <w:rFonts w:ascii="Arial" w:hAnsi="Arial" w:cs="Arial"/>
          <w:lang w:eastAsia="en-US"/>
        </w:rPr>
      </w:pPr>
      <w:r>
        <w:rPr>
          <w:rFonts w:ascii="Arial" w:hAnsi="Arial" w:cs="Arial"/>
        </w:rPr>
        <w:t>Routine phlebotomy should not be undertaken. Tests for urgent conditions and drug monitoring can continue. Consider the greater risk of spreading Covid-19 or delaying drug monitoring where there is a history of stable results.</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No routine requests should be sent through for the phlebotomy team to take at York hospital. It is imperative that we all do all we can to minimise the spread of Covid-19 to hospital staff and others.</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The ASDA phlebotomy service is closing because of the government’s movement restrictions. At present the Selby service is continuing.</w:t>
      </w:r>
    </w:p>
    <w:p w:rsidR="004110D1" w:rsidRDefault="004110D1" w:rsidP="004110D1">
      <w:pPr>
        <w:pStyle w:val="wordsection1"/>
        <w:spacing w:line="276" w:lineRule="auto"/>
        <w:rPr>
          <w:rFonts w:ascii="Arial" w:hAnsi="Arial" w:cs="Arial"/>
          <w:sz w:val="12"/>
          <w:szCs w:val="12"/>
          <w:lang w:eastAsia="en-US"/>
        </w:rPr>
      </w:pPr>
    </w:p>
    <w:p w:rsidR="004110D1" w:rsidRDefault="004110D1" w:rsidP="004110D1">
      <w:pPr>
        <w:pStyle w:val="wordsection1"/>
        <w:spacing w:line="276" w:lineRule="auto"/>
        <w:rPr>
          <w:rFonts w:ascii="Arial" w:hAnsi="Arial" w:cs="Arial"/>
          <w:lang w:eastAsia="en-US"/>
        </w:rPr>
      </w:pPr>
      <w:r>
        <w:rPr>
          <w:rFonts w:ascii="Arial" w:hAnsi="Arial" w:cs="Arial"/>
        </w:rPr>
        <w:t>YHFT’s phlebotomy team will provide an inpatient service and urgent request service only. They are currently supporting community services where staffing levels are low.</w:t>
      </w:r>
    </w:p>
    <w:p w:rsidR="004110D1" w:rsidRDefault="004110D1" w:rsidP="004110D1">
      <w:pPr>
        <w:pStyle w:val="wordsection1"/>
        <w:spacing w:line="276" w:lineRule="auto"/>
        <w:rPr>
          <w:rFonts w:ascii="Arial" w:hAnsi="Arial" w:cs="Arial"/>
          <w:lang w:eastAsia="en-US"/>
        </w:rPr>
      </w:pPr>
    </w:p>
    <w:p w:rsidR="004110D1" w:rsidRDefault="004110D1" w:rsidP="004110D1">
      <w:pPr>
        <w:pStyle w:val="wordsection1"/>
        <w:spacing w:line="276" w:lineRule="auto"/>
        <w:rPr>
          <w:rFonts w:ascii="Arial" w:hAnsi="Arial" w:cs="Arial"/>
          <w:b/>
          <w:bCs/>
          <w:lang w:eastAsia="en-US"/>
        </w:rPr>
      </w:pPr>
      <w:r>
        <w:rPr>
          <w:rFonts w:ascii="Arial" w:hAnsi="Arial" w:cs="Arial"/>
          <w:b/>
          <w:bCs/>
        </w:rPr>
        <w:t>Andrology</w:t>
      </w:r>
    </w:p>
    <w:p w:rsidR="004110D1" w:rsidRDefault="004110D1" w:rsidP="004110D1">
      <w:pPr>
        <w:pStyle w:val="wordsection1"/>
        <w:spacing w:line="276" w:lineRule="auto"/>
        <w:rPr>
          <w:rFonts w:ascii="Arial" w:hAnsi="Arial" w:cs="Arial"/>
          <w:lang w:eastAsia="en-US"/>
        </w:rPr>
      </w:pPr>
      <w:r>
        <w:rPr>
          <w:rFonts w:ascii="Arial" w:hAnsi="Arial" w:cs="Arial"/>
        </w:rPr>
        <w:t>This service has been closed as a routine service so patients should not be referred for semen analysis.</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color w:val="000000"/>
        </w:rPr>
      </w:pPr>
      <w:r>
        <w:rPr>
          <w:rFonts w:ascii="Arial" w:hAnsi="Arial" w:cs="Arial"/>
          <w:color w:val="000000"/>
        </w:rPr>
        <w:lastRenderedPageBreak/>
        <w:t xml:space="preserve">Thank you </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b/>
          <w:bCs/>
          <w:color w:val="000000"/>
        </w:rPr>
      </w:pPr>
      <w:r>
        <w:rPr>
          <w:rFonts w:ascii="Arial" w:hAnsi="Arial" w:cs="Arial"/>
          <w:b/>
          <w:bCs/>
          <w:color w:val="000000"/>
        </w:rPr>
        <w:t>Sharron Hegarty</w:t>
      </w:r>
    </w:p>
    <w:p w:rsidR="004110D1" w:rsidRDefault="004110D1" w:rsidP="004110D1">
      <w:pPr>
        <w:pStyle w:val="wordsection1"/>
        <w:rPr>
          <w:rFonts w:ascii="Arial" w:hAnsi="Arial" w:cs="Arial"/>
          <w:color w:val="000000"/>
        </w:rPr>
      </w:pPr>
      <w:r>
        <w:rPr>
          <w:rFonts w:ascii="Arial" w:hAnsi="Arial" w:cs="Arial"/>
          <w:color w:val="000000"/>
        </w:rPr>
        <w:t>Head of Communications and Media Relations</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color w:val="000000"/>
        </w:rPr>
      </w:pPr>
      <w:r>
        <w:rPr>
          <w:rFonts w:ascii="Arial" w:hAnsi="Arial" w:cs="Arial"/>
          <w:color w:val="000000"/>
        </w:rPr>
        <w:t xml:space="preserve">Phone 01904 555 919 email </w:t>
      </w:r>
      <w:hyperlink r:id="rId8" w:history="1">
        <w:r>
          <w:rPr>
            <w:rStyle w:val="Hyperlink"/>
            <w:rFonts w:ascii="Arial" w:hAnsi="Arial" w:cs="Arial"/>
          </w:rPr>
          <w:t>sharron.hegarty@nhs.net</w:t>
        </w:r>
      </w:hyperlink>
      <w:r>
        <w:rPr>
          <w:rFonts w:ascii="Arial" w:hAnsi="Arial" w:cs="Arial"/>
          <w:color w:val="000000"/>
        </w:rPr>
        <w:t xml:space="preserve"> </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color w:val="000000"/>
        </w:rPr>
      </w:pPr>
    </w:p>
    <w:p w:rsidR="004110D1" w:rsidRDefault="004110D1" w:rsidP="004110D1">
      <w:pPr>
        <w:pStyle w:val="wordsection1"/>
        <w:rPr>
          <w:rFonts w:ascii="Arial" w:hAnsi="Arial" w:cs="Arial"/>
          <w:color w:val="000000"/>
        </w:rPr>
      </w:pPr>
      <w:r>
        <w:rPr>
          <w:rFonts w:ascii="Arial" w:hAnsi="Arial" w:cs="Arial"/>
          <w:noProof/>
          <w:color w:val="000000"/>
        </w:rPr>
        <w:drawing>
          <wp:inline distT="0" distB="0" distL="0" distR="0">
            <wp:extent cx="2857500" cy="1600200"/>
            <wp:effectExtent l="0" t="0" r="0" b="0"/>
            <wp:docPr id="1" name="Picture 1" descr="Catch it bin it kill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ch it bin it kill it"/>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E000D" w:rsidRDefault="004110D1"/>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34951"/>
    <w:multiLevelType w:val="hybridMultilevel"/>
    <w:tmpl w:val="E640A2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7722571"/>
    <w:multiLevelType w:val="multilevel"/>
    <w:tmpl w:val="3852F6D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D1"/>
    <w:rsid w:val="00196207"/>
    <w:rsid w:val="004110D1"/>
    <w:rsid w:val="0084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10D1"/>
    <w:rPr>
      <w:color w:val="0000FF"/>
      <w:u w:val="single"/>
    </w:rPr>
  </w:style>
  <w:style w:type="paragraph" w:customStyle="1" w:styleId="wordsection1">
    <w:name w:val="wordsection1"/>
    <w:basedOn w:val="Normal"/>
    <w:uiPriority w:val="99"/>
    <w:rsid w:val="004110D1"/>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110D1"/>
    <w:rPr>
      <w:color w:val="0000FF"/>
      <w:u w:val="single"/>
    </w:rPr>
  </w:style>
  <w:style w:type="paragraph" w:customStyle="1" w:styleId="wordsection1">
    <w:name w:val="wordsection1"/>
    <w:basedOn w:val="Normal"/>
    <w:uiPriority w:val="99"/>
    <w:rsid w:val="004110D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5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ron.hegarty@nhs.net" TargetMode="External"/><Relationship Id="rId3" Type="http://schemas.microsoft.com/office/2007/relationships/stylesWithEffects" Target="stylesWithEffects.xml"/><Relationship Id="rId7" Type="http://schemas.openxmlformats.org/officeDocument/2006/relationships/hyperlink" Target="http://www.yourphysio.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hospitals.nhs.uk/your-visit/attending-outpatients/cancel-your-appointmen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5FDEB.98F96240"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2020-03-31T11:39:00Z</dcterms:created>
  <dcterms:modified xsi:type="dcterms:W3CDTF">2020-03-31T11:39:00Z</dcterms:modified>
</cp:coreProperties>
</file>